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00" w:lineRule="exact"/>
        <w:rPr>
          <w:color w:val="auto"/>
          <w:sz w:val="24"/>
          <w:szCs w:val="24"/>
        </w:rPr>
      </w:pPr>
      <w:bookmarkStart w:id="0" w:name="page1"/>
      <w:bookmarkEnd w:id="0"/>
      <w:r>
        <w:rPr>
          <w:color w:val="auto"/>
          <w:sz w:val="24"/>
          <w:szCs w:val="24"/>
        </w:rPr>
        <w:drawing>
          <wp:anchor distT="0" distB="0" distL="114300" distR="114300" simplePos="0" relativeHeight="251658240" behindDoc="1" locked="0" layoutInCell="0" allowOverlap="1">
            <wp:simplePos x="0" y="0"/>
            <wp:positionH relativeFrom="page">
              <wp:posOffset>1519555</wp:posOffset>
            </wp:positionH>
            <wp:positionV relativeFrom="page">
              <wp:posOffset>1249680</wp:posOffset>
            </wp:positionV>
            <wp:extent cx="4324985" cy="524510"/>
            <wp:effectExtent l="0" t="0" r="1841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4324985" cy="524510"/>
                    </a:xfrm>
                    <a:prstGeom prst="rect">
                      <a:avLst/>
                    </a:prstGeom>
                    <a:noFill/>
                  </pic:spPr>
                </pic:pic>
              </a:graphicData>
            </a:graphic>
          </wp:anchor>
        </w:drawing>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28" w:lineRule="exact"/>
        <w:rPr>
          <w:color w:val="auto"/>
          <w:sz w:val="24"/>
          <w:szCs w:val="24"/>
        </w:rPr>
      </w:pPr>
    </w:p>
    <w:p>
      <w:pPr>
        <w:spacing w:after="0" w:line="388" w:lineRule="exact"/>
        <w:ind w:right="6"/>
        <w:jc w:val="center"/>
        <w:rPr>
          <w:color w:val="auto"/>
          <w:sz w:val="20"/>
          <w:szCs w:val="20"/>
        </w:rPr>
      </w:pPr>
      <w:r>
        <w:rPr>
          <w:rFonts w:ascii="宋体" w:hAnsi="宋体" w:eastAsia="宋体" w:cs="宋体"/>
          <w:color w:val="auto"/>
          <w:sz w:val="32"/>
          <w:szCs w:val="32"/>
        </w:rPr>
        <w:t>中大研字〔</w:t>
      </w:r>
      <w:r>
        <w:rPr>
          <w:rFonts w:ascii="Arial" w:hAnsi="Arial" w:eastAsia="Arial" w:cs="Arial"/>
          <w:color w:val="auto"/>
          <w:sz w:val="32"/>
          <w:szCs w:val="32"/>
        </w:rPr>
        <w:t>2018</w:t>
      </w:r>
      <w:r>
        <w:rPr>
          <w:rFonts w:ascii="宋体" w:hAnsi="宋体" w:eastAsia="宋体" w:cs="宋体"/>
          <w:color w:val="auto"/>
          <w:sz w:val="32"/>
          <w:szCs w:val="32"/>
        </w:rPr>
        <w:t>〕</w:t>
      </w:r>
      <w:r>
        <w:rPr>
          <w:rFonts w:ascii="Arial" w:hAnsi="Arial" w:eastAsia="Arial" w:cs="Arial"/>
          <w:color w:val="auto"/>
          <w:sz w:val="32"/>
          <w:szCs w:val="32"/>
        </w:rPr>
        <w:t xml:space="preserve">24 </w:t>
      </w:r>
      <w:r>
        <w:rPr>
          <w:rFonts w:ascii="宋体" w:hAnsi="宋体" w:eastAsia="宋体" w:cs="宋体"/>
          <w:color w:val="auto"/>
          <w:sz w:val="32"/>
          <w:szCs w:val="32"/>
        </w:rPr>
        <w:t>号</w:t>
      </w:r>
    </w:p>
    <w:p>
      <w:pPr>
        <w:spacing w:after="0" w:line="20" w:lineRule="exact"/>
        <w:rPr>
          <w:color w:val="auto"/>
          <w:sz w:val="24"/>
          <w:szCs w:val="24"/>
        </w:rPr>
      </w:pPr>
      <w:r>
        <w:rPr>
          <w:color w:val="auto"/>
          <w:sz w:val="24"/>
          <w:szCs w:val="24"/>
        </w:rPr>
        <w:drawing>
          <wp:anchor distT="0" distB="0" distL="114300" distR="114300" simplePos="0" relativeHeight="251658240" behindDoc="1" locked="0" layoutInCell="0" allowOverlap="1">
            <wp:simplePos x="0" y="0"/>
            <wp:positionH relativeFrom="column">
              <wp:posOffset>236855</wp:posOffset>
            </wp:positionH>
            <wp:positionV relativeFrom="paragraph">
              <wp:posOffset>241300</wp:posOffset>
            </wp:positionV>
            <wp:extent cx="5257800" cy="292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srcRect/>
                    <a:stretch>
                      <a:fillRect/>
                    </a:stretch>
                  </pic:blipFill>
                  <pic:spPr>
                    <a:xfrm>
                      <a:off x="0" y="0"/>
                      <a:ext cx="5257800" cy="29210"/>
                    </a:xfrm>
                    <a:prstGeom prst="rect">
                      <a:avLst/>
                    </a:prstGeom>
                    <a:noFill/>
                  </pic:spPr>
                </pic:pic>
              </a:graphicData>
            </a:graphic>
          </wp:anchor>
        </w:drawing>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358" w:lineRule="exact"/>
        <w:rPr>
          <w:color w:val="auto"/>
          <w:sz w:val="24"/>
          <w:szCs w:val="24"/>
        </w:rPr>
      </w:pPr>
    </w:p>
    <w:p>
      <w:pPr>
        <w:spacing w:after="0" w:line="582" w:lineRule="exact"/>
        <w:ind w:left="1660" w:right="560"/>
        <w:jc w:val="center"/>
        <w:rPr>
          <w:color w:val="auto"/>
          <w:sz w:val="20"/>
          <w:szCs w:val="20"/>
        </w:rPr>
      </w:pPr>
      <w:r>
        <w:rPr>
          <w:rFonts w:ascii="宋体" w:hAnsi="宋体" w:eastAsia="宋体" w:cs="宋体"/>
          <w:color w:val="auto"/>
          <w:sz w:val="44"/>
          <w:szCs w:val="44"/>
        </w:rPr>
        <w:t>关于印发《中南大学研究生国家奖学金评审办法》的通知</w:t>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308" w:lineRule="exact"/>
        <w:rPr>
          <w:color w:val="auto"/>
          <w:sz w:val="24"/>
          <w:szCs w:val="24"/>
        </w:rPr>
      </w:pPr>
    </w:p>
    <w:p>
      <w:pPr>
        <w:spacing w:after="0" w:line="388" w:lineRule="exact"/>
        <w:ind w:left="200"/>
        <w:rPr>
          <w:color w:val="auto"/>
          <w:sz w:val="20"/>
          <w:szCs w:val="20"/>
        </w:rPr>
      </w:pPr>
      <w:r>
        <w:rPr>
          <w:rFonts w:ascii="宋体" w:hAnsi="宋体" w:eastAsia="宋体" w:cs="宋体"/>
          <w:color w:val="auto"/>
          <w:sz w:val="32"/>
          <w:szCs w:val="32"/>
        </w:rPr>
        <w:t>各二级单位</w:t>
      </w:r>
      <w:r>
        <w:rPr>
          <w:rFonts w:ascii="Arial" w:hAnsi="Arial" w:eastAsia="Arial" w:cs="Arial"/>
          <w:color w:val="auto"/>
          <w:sz w:val="32"/>
          <w:szCs w:val="32"/>
        </w:rPr>
        <w:t>:</w:t>
      </w:r>
    </w:p>
    <w:p>
      <w:pPr>
        <w:spacing w:after="0" w:line="184" w:lineRule="exact"/>
        <w:rPr>
          <w:color w:val="auto"/>
          <w:sz w:val="24"/>
          <w:szCs w:val="24"/>
        </w:rPr>
      </w:pPr>
    </w:p>
    <w:p>
      <w:pPr>
        <w:spacing w:after="0" w:line="376" w:lineRule="exact"/>
        <w:ind w:left="840"/>
        <w:rPr>
          <w:color w:val="auto"/>
          <w:sz w:val="20"/>
          <w:szCs w:val="20"/>
        </w:rPr>
      </w:pPr>
      <w:r>
        <w:rPr>
          <w:rFonts w:ascii="宋体" w:hAnsi="宋体" w:eastAsia="宋体" w:cs="宋体"/>
          <w:color w:val="auto"/>
          <w:sz w:val="31"/>
          <w:szCs w:val="31"/>
        </w:rPr>
        <w:t>《中南大学研究生国家奖学金评审办法》已经</w:t>
      </w:r>
      <w:r>
        <w:rPr>
          <w:rFonts w:ascii="Arial" w:hAnsi="Arial" w:eastAsia="Arial" w:cs="Arial"/>
          <w:color w:val="auto"/>
          <w:sz w:val="31"/>
          <w:szCs w:val="31"/>
        </w:rPr>
        <w:t xml:space="preserve"> 2017 </w:t>
      </w:r>
      <w:r>
        <w:rPr>
          <w:rFonts w:ascii="宋体" w:hAnsi="宋体" w:eastAsia="宋体" w:cs="宋体"/>
          <w:color w:val="auto"/>
          <w:sz w:val="31"/>
          <w:szCs w:val="31"/>
        </w:rPr>
        <w:t>年</w:t>
      </w:r>
      <w:r>
        <w:rPr>
          <w:rFonts w:ascii="Arial" w:hAnsi="Arial" w:eastAsia="Arial" w:cs="Arial"/>
          <w:color w:val="auto"/>
          <w:sz w:val="31"/>
          <w:szCs w:val="31"/>
        </w:rPr>
        <w:t xml:space="preserve"> 12</w:t>
      </w:r>
    </w:p>
    <w:p>
      <w:pPr>
        <w:spacing w:after="0" w:line="241" w:lineRule="exact"/>
        <w:rPr>
          <w:color w:val="auto"/>
          <w:sz w:val="24"/>
          <w:szCs w:val="24"/>
        </w:rPr>
      </w:pPr>
    </w:p>
    <w:p>
      <w:pPr>
        <w:numPr>
          <w:ilvl w:val="0"/>
          <w:numId w:val="1"/>
        </w:numPr>
        <w:tabs>
          <w:tab w:val="left" w:pos="606"/>
        </w:tabs>
        <w:spacing w:after="0" w:line="440" w:lineRule="exact"/>
        <w:ind w:left="200" w:right="206" w:firstLine="4"/>
        <w:rPr>
          <w:rFonts w:ascii="宋体" w:hAnsi="宋体" w:eastAsia="宋体" w:cs="宋体"/>
          <w:color w:val="auto"/>
          <w:sz w:val="32"/>
          <w:szCs w:val="32"/>
        </w:rPr>
      </w:pPr>
      <w:r>
        <w:rPr>
          <w:rFonts w:ascii="Arial" w:hAnsi="Arial" w:eastAsia="Arial" w:cs="Arial"/>
          <w:color w:val="auto"/>
          <w:sz w:val="32"/>
          <w:szCs w:val="32"/>
        </w:rPr>
        <w:t xml:space="preserve">27 </w:t>
      </w:r>
      <w:r>
        <w:rPr>
          <w:rFonts w:ascii="宋体" w:hAnsi="宋体" w:eastAsia="宋体" w:cs="宋体"/>
          <w:color w:val="auto"/>
          <w:sz w:val="32"/>
          <w:szCs w:val="32"/>
        </w:rPr>
        <w:t>日第三十五次校务会讨论通过，现印发给你们，请认真遵照执行。</w:t>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59" w:lineRule="exact"/>
        <w:rPr>
          <w:color w:val="auto"/>
          <w:sz w:val="24"/>
          <w:szCs w:val="24"/>
        </w:rPr>
      </w:pPr>
    </w:p>
    <w:p>
      <w:pPr>
        <w:spacing w:after="0" w:line="366" w:lineRule="exact"/>
        <w:ind w:left="6140"/>
        <w:rPr>
          <w:color w:val="auto"/>
          <w:sz w:val="20"/>
          <w:szCs w:val="20"/>
        </w:rPr>
      </w:pPr>
      <w:r>
        <w:rPr>
          <w:rFonts w:ascii="宋体" w:hAnsi="宋体" w:eastAsia="宋体" w:cs="宋体"/>
          <w:color w:val="auto"/>
          <w:sz w:val="32"/>
          <w:szCs w:val="32"/>
        </w:rPr>
        <w:t>中南大学</w:t>
      </w:r>
    </w:p>
    <w:p>
      <w:pPr>
        <w:spacing w:after="0" w:line="152" w:lineRule="exact"/>
        <w:rPr>
          <w:color w:val="auto"/>
          <w:sz w:val="24"/>
          <w:szCs w:val="24"/>
        </w:rPr>
      </w:pPr>
    </w:p>
    <w:p>
      <w:pPr>
        <w:spacing w:after="0" w:line="388" w:lineRule="exact"/>
        <w:ind w:left="5640"/>
        <w:rPr>
          <w:color w:val="auto"/>
          <w:sz w:val="20"/>
          <w:szCs w:val="20"/>
        </w:rPr>
      </w:pPr>
      <w:r>
        <w:rPr>
          <w:rFonts w:ascii="Arial" w:hAnsi="Arial" w:eastAsia="Arial" w:cs="Arial"/>
          <w:color w:val="auto"/>
          <w:sz w:val="32"/>
          <w:szCs w:val="32"/>
        </w:rPr>
        <w:t xml:space="preserve">2018 </w:t>
      </w:r>
      <w:r>
        <w:rPr>
          <w:rFonts w:ascii="宋体" w:hAnsi="宋体" w:eastAsia="宋体" w:cs="宋体"/>
          <w:color w:val="auto"/>
          <w:sz w:val="32"/>
          <w:szCs w:val="32"/>
        </w:rPr>
        <w:t>年</w:t>
      </w:r>
      <w:r>
        <w:rPr>
          <w:rFonts w:ascii="Arial" w:hAnsi="Arial" w:eastAsia="Arial" w:cs="Arial"/>
          <w:color w:val="auto"/>
          <w:sz w:val="32"/>
          <w:szCs w:val="32"/>
        </w:rPr>
        <w:t xml:space="preserve"> 3 </w:t>
      </w:r>
      <w:r>
        <w:rPr>
          <w:rFonts w:ascii="宋体" w:hAnsi="宋体" w:eastAsia="宋体" w:cs="宋体"/>
          <w:color w:val="auto"/>
          <w:sz w:val="32"/>
          <w:szCs w:val="32"/>
        </w:rPr>
        <w:t>月</w:t>
      </w:r>
      <w:r>
        <w:rPr>
          <w:rFonts w:ascii="Arial" w:hAnsi="Arial" w:eastAsia="Arial" w:cs="Arial"/>
          <w:color w:val="auto"/>
          <w:sz w:val="32"/>
          <w:szCs w:val="32"/>
        </w:rPr>
        <w:t xml:space="preserve"> 23 </w:t>
      </w:r>
      <w:r>
        <w:rPr>
          <w:rFonts w:ascii="宋体" w:hAnsi="宋体" w:eastAsia="宋体" w:cs="宋体"/>
          <w:color w:val="auto"/>
          <w:sz w:val="32"/>
          <w:szCs w:val="32"/>
        </w:rPr>
        <w:t>日</w:t>
      </w:r>
    </w:p>
    <w:p>
      <w:pPr>
        <w:sectPr>
          <w:pgSz w:w="11900" w:h="16838"/>
          <w:pgMar w:top="1440" w:right="1440" w:bottom="463" w:left="1440" w:header="0" w:footer="0" w:gutter="0"/>
          <w:cols w:equalWidth="0" w:num="1">
            <w:col w:w="9026"/>
          </w:cols>
        </w:sect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3" w:lineRule="exact"/>
        <w:rPr>
          <w:color w:val="auto"/>
          <w:sz w:val="24"/>
          <w:szCs w:val="24"/>
        </w:rPr>
      </w:pPr>
    </w:p>
    <w:p>
      <w:pPr>
        <w:spacing w:after="0" w:line="274" w:lineRule="exact"/>
        <w:ind w:left="8220"/>
        <w:rPr>
          <w:color w:val="auto"/>
          <w:sz w:val="20"/>
          <w:szCs w:val="20"/>
        </w:rPr>
      </w:pPr>
      <w:r>
        <w:rPr>
          <w:rFonts w:ascii="宋体" w:hAnsi="宋体" w:eastAsia="宋体" w:cs="宋体"/>
          <w:color w:val="auto"/>
          <w:sz w:val="24"/>
          <w:szCs w:val="24"/>
        </w:rPr>
        <w:t>―1―</w:t>
      </w:r>
    </w:p>
    <w:p>
      <w:pPr>
        <w:sectPr>
          <w:type w:val="continuous"/>
          <w:pgSz w:w="11900" w:h="16838"/>
          <w:pgMar w:top="1440" w:right="1440" w:bottom="463" w:left="1440" w:header="0" w:footer="0" w:gutter="0"/>
          <w:cols w:equalWidth="0" w:num="1">
            <w:col w:w="9026"/>
          </w:cols>
        </w:sectPr>
      </w:pPr>
    </w:p>
    <w:p>
      <w:pPr>
        <w:spacing w:after="0" w:line="375" w:lineRule="exact"/>
        <w:rPr>
          <w:color w:val="auto"/>
          <w:sz w:val="20"/>
          <w:szCs w:val="20"/>
        </w:rPr>
      </w:pPr>
      <w:bookmarkStart w:id="1" w:name="page2"/>
      <w:bookmarkEnd w:id="1"/>
    </w:p>
    <w:p>
      <w:pPr>
        <w:spacing w:after="0" w:line="502" w:lineRule="exact"/>
        <w:ind w:right="6"/>
        <w:jc w:val="center"/>
        <w:rPr>
          <w:color w:val="auto"/>
          <w:sz w:val="20"/>
          <w:szCs w:val="20"/>
        </w:rPr>
      </w:pPr>
      <w:r>
        <w:rPr>
          <w:rFonts w:ascii="宋体" w:hAnsi="宋体" w:eastAsia="宋体" w:cs="宋体"/>
          <w:color w:val="auto"/>
          <w:sz w:val="44"/>
          <w:szCs w:val="44"/>
        </w:rPr>
        <w:t>中南大学研究生国家奖学金评审办法</w:t>
      </w:r>
    </w:p>
    <w:p>
      <w:pPr>
        <w:spacing w:after="0" w:line="112" w:lineRule="exact"/>
        <w:rPr>
          <w:color w:val="auto"/>
          <w:sz w:val="20"/>
          <w:szCs w:val="20"/>
        </w:rPr>
      </w:pPr>
    </w:p>
    <w:p>
      <w:pPr>
        <w:spacing w:after="0" w:line="388" w:lineRule="exact"/>
        <w:ind w:right="6"/>
        <w:jc w:val="center"/>
        <w:rPr>
          <w:color w:val="auto"/>
          <w:sz w:val="20"/>
          <w:szCs w:val="20"/>
        </w:rPr>
      </w:pPr>
      <w:r>
        <w:rPr>
          <w:rFonts w:ascii="Arial" w:hAnsi="Arial" w:eastAsia="Arial" w:cs="Arial"/>
          <w:color w:val="auto"/>
          <w:sz w:val="32"/>
          <w:szCs w:val="32"/>
        </w:rPr>
        <w:t xml:space="preserve">(2017 </w:t>
      </w:r>
      <w:r>
        <w:rPr>
          <w:rFonts w:ascii="宋体" w:hAnsi="宋体" w:eastAsia="宋体" w:cs="宋体"/>
          <w:color w:val="auto"/>
          <w:sz w:val="32"/>
          <w:szCs w:val="32"/>
        </w:rPr>
        <w:t>年</w:t>
      </w:r>
      <w:r>
        <w:rPr>
          <w:rFonts w:ascii="Arial" w:hAnsi="Arial" w:eastAsia="Arial" w:cs="Arial"/>
          <w:color w:val="auto"/>
          <w:sz w:val="32"/>
          <w:szCs w:val="32"/>
        </w:rPr>
        <w:t xml:space="preserve"> 12 </w:t>
      </w:r>
      <w:r>
        <w:rPr>
          <w:rFonts w:ascii="宋体" w:hAnsi="宋体" w:eastAsia="宋体" w:cs="宋体"/>
          <w:color w:val="auto"/>
          <w:sz w:val="32"/>
          <w:szCs w:val="32"/>
        </w:rPr>
        <w:t>月</w:t>
      </w:r>
      <w:r>
        <w:rPr>
          <w:rFonts w:ascii="Arial" w:hAnsi="Arial" w:eastAsia="Arial" w:cs="Arial"/>
          <w:color w:val="auto"/>
          <w:sz w:val="32"/>
          <w:szCs w:val="32"/>
        </w:rPr>
        <w:t xml:space="preserve"> 27 </w:t>
      </w:r>
      <w:r>
        <w:rPr>
          <w:rFonts w:ascii="宋体" w:hAnsi="宋体" w:eastAsia="宋体" w:cs="宋体"/>
          <w:color w:val="auto"/>
          <w:sz w:val="32"/>
          <w:szCs w:val="32"/>
        </w:rPr>
        <w:t>日第三十五次校务会讨论通过</w:t>
      </w:r>
      <w:r>
        <w:rPr>
          <w:rFonts w:ascii="Arial" w:hAnsi="Arial" w:eastAsia="Arial" w:cs="Arial"/>
          <w:color w:val="auto"/>
          <w:sz w:val="32"/>
          <w:szCs w:val="3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1" w:lineRule="exact"/>
        <w:rPr>
          <w:color w:val="auto"/>
          <w:sz w:val="20"/>
          <w:szCs w:val="20"/>
        </w:rPr>
      </w:pPr>
    </w:p>
    <w:p>
      <w:pPr>
        <w:spacing w:after="0" w:line="366" w:lineRule="exact"/>
        <w:ind w:right="6"/>
        <w:jc w:val="center"/>
        <w:rPr>
          <w:color w:val="auto"/>
          <w:sz w:val="20"/>
          <w:szCs w:val="20"/>
        </w:rPr>
      </w:pPr>
      <w:r>
        <w:rPr>
          <w:rFonts w:ascii="黑体" w:hAnsi="黑体" w:eastAsia="黑体" w:cs="黑体"/>
          <w:color w:val="auto"/>
          <w:sz w:val="32"/>
          <w:szCs w:val="32"/>
        </w:rPr>
        <w:t>第一章 总 则</w:t>
      </w:r>
    </w:p>
    <w:p>
      <w:pPr>
        <w:spacing w:after="0" w:line="200" w:lineRule="exact"/>
        <w:rPr>
          <w:color w:val="auto"/>
          <w:sz w:val="20"/>
          <w:szCs w:val="20"/>
        </w:rPr>
      </w:pPr>
    </w:p>
    <w:p>
      <w:pPr>
        <w:spacing w:after="0" w:line="258" w:lineRule="exact"/>
        <w:rPr>
          <w:color w:val="auto"/>
          <w:sz w:val="20"/>
          <w:szCs w:val="20"/>
        </w:rPr>
      </w:pPr>
    </w:p>
    <w:p>
      <w:pPr>
        <w:spacing w:after="0" w:line="429" w:lineRule="exact"/>
        <w:ind w:left="200" w:right="46" w:firstLine="641"/>
        <w:rPr>
          <w:color w:val="auto"/>
          <w:sz w:val="20"/>
          <w:szCs w:val="20"/>
        </w:rPr>
      </w:pPr>
      <w:r>
        <w:rPr>
          <w:rFonts w:ascii="宋体" w:hAnsi="宋体" w:eastAsia="宋体" w:cs="宋体"/>
          <w:color w:val="auto"/>
          <w:sz w:val="31"/>
          <w:szCs w:val="31"/>
        </w:rPr>
        <w:t>第一条 为进一步激发研究生创新能力，提高研究生教育质量，根据《研究生国家奖学金管理暂行办法》（财教〔</w:t>
      </w:r>
      <w:r>
        <w:rPr>
          <w:rFonts w:ascii="Arial" w:hAnsi="Arial" w:eastAsia="Arial" w:cs="Arial"/>
          <w:color w:val="auto"/>
          <w:sz w:val="31"/>
          <w:szCs w:val="31"/>
        </w:rPr>
        <w:t>2012</w:t>
      </w:r>
      <w:r>
        <w:rPr>
          <w:rFonts w:ascii="宋体" w:hAnsi="宋体" w:eastAsia="宋体" w:cs="宋体"/>
          <w:color w:val="auto"/>
          <w:sz w:val="31"/>
          <w:szCs w:val="31"/>
        </w:rPr>
        <w:t>〕</w:t>
      </w:r>
    </w:p>
    <w:p>
      <w:pPr>
        <w:spacing w:after="0" w:line="222" w:lineRule="exact"/>
        <w:rPr>
          <w:color w:val="auto"/>
          <w:sz w:val="20"/>
          <w:szCs w:val="20"/>
        </w:rPr>
      </w:pPr>
    </w:p>
    <w:p>
      <w:pPr>
        <w:numPr>
          <w:ilvl w:val="0"/>
          <w:numId w:val="2"/>
        </w:numPr>
        <w:tabs>
          <w:tab w:val="left" w:pos="762"/>
        </w:tabs>
        <w:spacing w:after="0" w:line="429" w:lineRule="exact"/>
        <w:ind w:left="200" w:right="206" w:firstLine="4"/>
        <w:rPr>
          <w:rFonts w:ascii="Arial" w:hAnsi="Arial" w:eastAsia="Arial" w:cs="Arial"/>
          <w:color w:val="auto"/>
          <w:sz w:val="32"/>
          <w:szCs w:val="32"/>
        </w:rPr>
      </w:pPr>
      <w:r>
        <w:rPr>
          <w:rFonts w:ascii="宋体" w:hAnsi="宋体" w:eastAsia="宋体" w:cs="宋体"/>
          <w:color w:val="auto"/>
          <w:sz w:val="32"/>
          <w:szCs w:val="32"/>
        </w:rPr>
        <w:t>号）、《普通高等学校研究生国家奖学金评审办法》（教财〔</w:t>
      </w:r>
      <w:r>
        <w:rPr>
          <w:rFonts w:ascii="Arial" w:hAnsi="Arial" w:eastAsia="Arial" w:cs="Arial"/>
          <w:color w:val="auto"/>
          <w:sz w:val="32"/>
          <w:szCs w:val="32"/>
        </w:rPr>
        <w:t>2014</w:t>
      </w:r>
      <w:r>
        <w:rPr>
          <w:rFonts w:ascii="宋体" w:hAnsi="宋体" w:eastAsia="宋体" w:cs="宋体"/>
          <w:color w:val="auto"/>
          <w:sz w:val="32"/>
          <w:szCs w:val="32"/>
        </w:rPr>
        <w:t>〕</w:t>
      </w:r>
      <w:r>
        <w:rPr>
          <w:rFonts w:ascii="Arial" w:hAnsi="Arial" w:eastAsia="Arial" w:cs="Arial"/>
          <w:color w:val="auto"/>
          <w:sz w:val="32"/>
          <w:szCs w:val="32"/>
        </w:rPr>
        <w:t xml:space="preserve">1 </w:t>
      </w:r>
      <w:r>
        <w:rPr>
          <w:rFonts w:ascii="宋体" w:hAnsi="宋体" w:eastAsia="宋体" w:cs="宋体"/>
          <w:color w:val="auto"/>
          <w:sz w:val="32"/>
          <w:szCs w:val="32"/>
        </w:rPr>
        <w:t>号）精神，制定本办法。</w:t>
      </w:r>
    </w:p>
    <w:p>
      <w:pPr>
        <w:spacing w:after="0" w:line="223" w:lineRule="exact"/>
        <w:rPr>
          <w:rFonts w:ascii="Arial" w:hAnsi="Arial" w:eastAsia="Arial" w:cs="Arial"/>
          <w:color w:val="auto"/>
          <w:sz w:val="32"/>
          <w:szCs w:val="32"/>
        </w:rPr>
      </w:pPr>
    </w:p>
    <w:p>
      <w:pPr>
        <w:spacing w:after="0" w:line="466" w:lineRule="exact"/>
        <w:ind w:left="200" w:right="206" w:firstLine="641"/>
        <w:jc w:val="both"/>
        <w:rPr>
          <w:rFonts w:ascii="Arial" w:hAnsi="Arial" w:eastAsia="Arial" w:cs="Arial"/>
          <w:color w:val="auto"/>
          <w:sz w:val="32"/>
          <w:szCs w:val="32"/>
        </w:rPr>
      </w:pPr>
      <w:r>
        <w:rPr>
          <w:rFonts w:ascii="宋体" w:hAnsi="宋体" w:eastAsia="宋体" w:cs="宋体"/>
          <w:color w:val="auto"/>
          <w:sz w:val="32"/>
          <w:szCs w:val="32"/>
        </w:rPr>
        <w:t>第二条 研究生国家奖学金由中央财政出资设立，用于奖励具有中华人民共和国国籍的全日制非定向就业在读优秀博士、硕士研究生（含八年制学生）。</w:t>
      </w:r>
    </w:p>
    <w:p>
      <w:pPr>
        <w:spacing w:after="0" w:line="223" w:lineRule="exact"/>
        <w:rPr>
          <w:rFonts w:ascii="Arial" w:hAnsi="Arial" w:eastAsia="Arial" w:cs="Arial"/>
          <w:color w:val="auto"/>
          <w:sz w:val="32"/>
          <w:szCs w:val="32"/>
        </w:rPr>
      </w:pPr>
    </w:p>
    <w:p>
      <w:pPr>
        <w:spacing w:after="0" w:line="484" w:lineRule="exact"/>
        <w:ind w:left="200" w:right="186" w:firstLine="641"/>
        <w:jc w:val="both"/>
        <w:rPr>
          <w:rFonts w:ascii="Arial" w:hAnsi="Arial" w:eastAsia="Arial" w:cs="Arial"/>
          <w:color w:val="auto"/>
          <w:sz w:val="32"/>
          <w:szCs w:val="32"/>
        </w:rPr>
      </w:pPr>
      <w:r>
        <w:rPr>
          <w:rFonts w:ascii="宋体" w:hAnsi="宋体" w:eastAsia="宋体" w:cs="宋体"/>
          <w:color w:val="auto"/>
          <w:sz w:val="31"/>
          <w:szCs w:val="31"/>
        </w:rPr>
        <w:t>第三条 研究生国家奖学金每学年评审一次，坚持公开、公平、公正、择优的原则，严格执行国家有关教育法规，杜绝弄虚作假。各单位要切实加强管理，认真做好国家奖学金的评审和发放工作，确保国家奖学金用于奖励特别优秀的研究生。</w:t>
      </w:r>
    </w:p>
    <w:p>
      <w:pPr>
        <w:spacing w:after="0" w:line="200" w:lineRule="exact"/>
        <w:rPr>
          <w:color w:val="auto"/>
          <w:sz w:val="20"/>
          <w:szCs w:val="20"/>
        </w:rPr>
      </w:pPr>
    </w:p>
    <w:p>
      <w:pPr>
        <w:spacing w:after="0" w:line="224" w:lineRule="exact"/>
        <w:rPr>
          <w:color w:val="auto"/>
          <w:sz w:val="20"/>
          <w:szCs w:val="20"/>
        </w:rPr>
      </w:pPr>
    </w:p>
    <w:p>
      <w:pPr>
        <w:spacing w:after="0" w:line="366" w:lineRule="exact"/>
        <w:ind w:right="6"/>
        <w:jc w:val="center"/>
        <w:rPr>
          <w:color w:val="auto"/>
          <w:sz w:val="20"/>
          <w:szCs w:val="20"/>
        </w:rPr>
      </w:pPr>
      <w:r>
        <w:rPr>
          <w:rFonts w:ascii="黑体" w:hAnsi="黑体" w:eastAsia="黑体" w:cs="黑体"/>
          <w:color w:val="auto"/>
          <w:sz w:val="32"/>
          <w:szCs w:val="32"/>
        </w:rPr>
        <w:t>第二章 奖励标准与申请基本条件</w:t>
      </w:r>
    </w:p>
    <w:p>
      <w:pPr>
        <w:spacing w:after="0" w:line="200" w:lineRule="exact"/>
        <w:rPr>
          <w:color w:val="auto"/>
          <w:sz w:val="20"/>
          <w:szCs w:val="20"/>
        </w:rPr>
      </w:pPr>
    </w:p>
    <w:p>
      <w:pPr>
        <w:spacing w:after="0" w:line="258" w:lineRule="exact"/>
        <w:rPr>
          <w:color w:val="auto"/>
          <w:sz w:val="20"/>
          <w:szCs w:val="20"/>
        </w:rPr>
      </w:pPr>
    </w:p>
    <w:p>
      <w:pPr>
        <w:spacing w:after="0" w:line="429" w:lineRule="exact"/>
        <w:ind w:left="200" w:right="206" w:firstLine="641"/>
        <w:rPr>
          <w:color w:val="auto"/>
          <w:sz w:val="20"/>
          <w:szCs w:val="20"/>
        </w:rPr>
      </w:pPr>
      <w:r>
        <w:rPr>
          <w:rFonts w:ascii="宋体" w:hAnsi="宋体" w:eastAsia="宋体" w:cs="宋体"/>
          <w:color w:val="auto"/>
          <w:sz w:val="32"/>
          <w:szCs w:val="32"/>
        </w:rPr>
        <w:t>第四条 博士研究生国家奖学金奖励标准为每人每年</w:t>
      </w:r>
      <w:r>
        <w:rPr>
          <w:rFonts w:ascii="Arial" w:hAnsi="Arial" w:eastAsia="Arial" w:cs="Arial"/>
          <w:color w:val="auto"/>
          <w:sz w:val="32"/>
          <w:szCs w:val="32"/>
        </w:rPr>
        <w:t xml:space="preserve"> 3 </w:t>
      </w:r>
      <w:r>
        <w:rPr>
          <w:rFonts w:ascii="宋体" w:hAnsi="宋体" w:eastAsia="宋体" w:cs="宋体"/>
          <w:color w:val="auto"/>
          <w:sz w:val="32"/>
          <w:szCs w:val="32"/>
        </w:rPr>
        <w:t>万元；硕士研究生国家奖学金奖励标准为每人每年</w:t>
      </w:r>
      <w:r>
        <w:rPr>
          <w:rFonts w:ascii="Arial" w:hAnsi="Arial" w:eastAsia="Arial" w:cs="Arial"/>
          <w:color w:val="auto"/>
          <w:sz w:val="32"/>
          <w:szCs w:val="32"/>
        </w:rPr>
        <w:t xml:space="preserve"> 2 </w:t>
      </w:r>
      <w:r>
        <w:rPr>
          <w:rFonts w:ascii="宋体" w:hAnsi="宋体" w:eastAsia="宋体" w:cs="宋体"/>
          <w:color w:val="auto"/>
          <w:sz w:val="32"/>
          <w:szCs w:val="32"/>
        </w:rPr>
        <w:t>万元。</w:t>
      </w:r>
    </w:p>
    <w:p>
      <w:pPr>
        <w:spacing w:after="0" w:line="177" w:lineRule="exact"/>
        <w:rPr>
          <w:color w:val="auto"/>
          <w:sz w:val="20"/>
          <w:szCs w:val="20"/>
        </w:rPr>
      </w:pPr>
    </w:p>
    <w:p>
      <w:pPr>
        <w:spacing w:after="0" w:line="366" w:lineRule="exact"/>
        <w:ind w:left="840"/>
        <w:rPr>
          <w:color w:val="auto"/>
          <w:sz w:val="20"/>
          <w:szCs w:val="20"/>
        </w:rPr>
      </w:pPr>
      <w:r>
        <w:rPr>
          <w:rFonts w:ascii="宋体" w:hAnsi="宋体" w:eastAsia="宋体" w:cs="宋体"/>
          <w:color w:val="auto"/>
          <w:sz w:val="32"/>
          <w:szCs w:val="32"/>
        </w:rPr>
        <w:t>第五条 研究生国家奖学金申请基本条件：</w:t>
      </w:r>
    </w:p>
    <w:p>
      <w:pPr>
        <w:spacing w:after="0" w:line="175" w:lineRule="exact"/>
        <w:rPr>
          <w:color w:val="auto"/>
          <w:sz w:val="20"/>
          <w:szCs w:val="20"/>
        </w:rPr>
      </w:pPr>
    </w:p>
    <w:p>
      <w:pPr>
        <w:spacing w:after="0" w:line="366" w:lineRule="exact"/>
        <w:ind w:left="840"/>
        <w:rPr>
          <w:color w:val="auto"/>
          <w:sz w:val="20"/>
          <w:szCs w:val="20"/>
        </w:rPr>
      </w:pPr>
      <w:r>
        <w:rPr>
          <w:rFonts w:ascii="宋体" w:hAnsi="宋体" w:eastAsia="宋体" w:cs="宋体"/>
          <w:color w:val="auto"/>
          <w:sz w:val="32"/>
          <w:szCs w:val="32"/>
        </w:rPr>
        <w:t>（一）热爱社会主义祖国，拥护中国共产党的领导；</w:t>
      </w:r>
    </w:p>
    <w:p>
      <w:pPr>
        <w:spacing w:after="0" w:line="175" w:lineRule="exact"/>
        <w:rPr>
          <w:color w:val="auto"/>
          <w:sz w:val="20"/>
          <w:szCs w:val="20"/>
        </w:rPr>
      </w:pPr>
    </w:p>
    <w:p>
      <w:pPr>
        <w:spacing w:after="0" w:line="366" w:lineRule="exact"/>
        <w:ind w:left="840"/>
        <w:rPr>
          <w:color w:val="auto"/>
          <w:sz w:val="20"/>
          <w:szCs w:val="20"/>
        </w:rPr>
      </w:pPr>
      <w:r>
        <w:rPr>
          <w:rFonts w:ascii="宋体" w:hAnsi="宋体" w:eastAsia="宋体" w:cs="宋体"/>
          <w:color w:val="auto"/>
          <w:sz w:val="32"/>
          <w:szCs w:val="32"/>
        </w:rPr>
        <w:t>（二）遵守宪法和法律，遵守学校规章制度；</w:t>
      </w:r>
    </w:p>
    <w:p>
      <w:pPr>
        <w:spacing w:after="0" w:line="175" w:lineRule="exact"/>
        <w:rPr>
          <w:color w:val="auto"/>
          <w:sz w:val="20"/>
          <w:szCs w:val="20"/>
        </w:rPr>
      </w:pPr>
    </w:p>
    <w:p>
      <w:pPr>
        <w:spacing w:after="0" w:line="366" w:lineRule="exact"/>
        <w:ind w:left="840"/>
        <w:rPr>
          <w:color w:val="auto"/>
          <w:sz w:val="20"/>
          <w:szCs w:val="20"/>
        </w:rPr>
      </w:pPr>
      <w:r>
        <w:rPr>
          <w:rFonts w:ascii="宋体" w:hAnsi="宋体" w:eastAsia="宋体" w:cs="宋体"/>
          <w:color w:val="auto"/>
          <w:sz w:val="32"/>
          <w:szCs w:val="32"/>
        </w:rPr>
        <w:t>（三）诚实守信，道德品质优良；</w:t>
      </w:r>
    </w:p>
    <w:p>
      <w:pPr>
        <w:sectPr>
          <w:pgSz w:w="11900" w:h="16838"/>
          <w:pgMar w:top="1440" w:right="1440" w:bottom="463" w:left="1440" w:header="0" w:footer="0" w:gutter="0"/>
          <w:cols w:equalWidth="0" w:num="1">
            <w:col w:w="9026"/>
          </w:cols>
        </w:sectPr>
      </w:pPr>
    </w:p>
    <w:p>
      <w:pPr>
        <w:spacing w:after="0" w:line="200" w:lineRule="exact"/>
        <w:rPr>
          <w:color w:val="auto"/>
          <w:sz w:val="20"/>
          <w:szCs w:val="20"/>
        </w:rPr>
      </w:pPr>
    </w:p>
    <w:p>
      <w:pPr>
        <w:spacing w:after="0" w:line="200" w:lineRule="exact"/>
        <w:rPr>
          <w:color w:val="auto"/>
          <w:sz w:val="20"/>
          <w:szCs w:val="20"/>
        </w:rPr>
      </w:pPr>
    </w:p>
    <w:p>
      <w:pPr>
        <w:spacing w:after="0" w:line="298" w:lineRule="exact"/>
        <w:rPr>
          <w:color w:val="auto"/>
          <w:sz w:val="20"/>
          <w:szCs w:val="20"/>
        </w:rPr>
      </w:pPr>
    </w:p>
    <w:p>
      <w:pPr>
        <w:spacing w:after="0" w:line="274" w:lineRule="exact"/>
        <w:ind w:left="200"/>
        <w:rPr>
          <w:color w:val="auto"/>
          <w:sz w:val="20"/>
          <w:szCs w:val="20"/>
        </w:rPr>
      </w:pPr>
      <w:r>
        <w:rPr>
          <w:rFonts w:ascii="宋体" w:hAnsi="宋体" w:eastAsia="宋体" w:cs="宋体"/>
          <w:color w:val="auto"/>
          <w:sz w:val="24"/>
          <w:szCs w:val="24"/>
        </w:rPr>
        <w:t>―2―</w:t>
      </w:r>
    </w:p>
    <w:p>
      <w:pPr>
        <w:sectPr>
          <w:type w:val="continuous"/>
          <w:pgSz w:w="11900" w:h="16838"/>
          <w:pgMar w:top="1440" w:right="1440" w:bottom="463" w:left="1440" w:header="0" w:footer="0" w:gutter="0"/>
          <w:cols w:equalWidth="0" w:num="1">
            <w:col w:w="9026"/>
          </w:cols>
        </w:sectPr>
      </w:pPr>
    </w:p>
    <w:p>
      <w:pPr>
        <w:spacing w:after="0" w:line="374" w:lineRule="exact"/>
        <w:rPr>
          <w:color w:val="auto"/>
          <w:sz w:val="20"/>
          <w:szCs w:val="20"/>
        </w:rPr>
      </w:pPr>
      <w:bookmarkStart w:id="2" w:name="page3"/>
      <w:bookmarkEnd w:id="2"/>
    </w:p>
    <w:p>
      <w:pPr>
        <w:spacing w:after="0" w:line="366" w:lineRule="exact"/>
        <w:ind w:left="840"/>
        <w:rPr>
          <w:color w:val="auto"/>
          <w:sz w:val="20"/>
          <w:szCs w:val="20"/>
        </w:rPr>
      </w:pPr>
      <w:r>
        <w:rPr>
          <w:rFonts w:ascii="宋体" w:hAnsi="宋体" w:eastAsia="宋体" w:cs="宋体"/>
          <w:color w:val="auto"/>
          <w:sz w:val="32"/>
          <w:szCs w:val="32"/>
        </w:rPr>
        <w:t>（四）学习成绩优异；</w:t>
      </w:r>
    </w:p>
    <w:p>
      <w:pPr>
        <w:spacing w:after="0" w:line="222" w:lineRule="exact"/>
        <w:rPr>
          <w:color w:val="auto"/>
          <w:sz w:val="20"/>
          <w:szCs w:val="20"/>
        </w:rPr>
      </w:pPr>
    </w:p>
    <w:p>
      <w:pPr>
        <w:spacing w:after="0" w:line="429" w:lineRule="exact"/>
        <w:ind w:left="840" w:right="2746"/>
        <w:rPr>
          <w:color w:val="auto"/>
          <w:sz w:val="20"/>
          <w:szCs w:val="20"/>
        </w:rPr>
      </w:pPr>
      <w:r>
        <w:rPr>
          <w:rFonts w:ascii="宋体" w:hAnsi="宋体" w:eastAsia="宋体" w:cs="宋体"/>
          <w:color w:val="auto"/>
          <w:sz w:val="31"/>
          <w:szCs w:val="31"/>
        </w:rPr>
        <w:t>（五）学术成果显著，发展潜力突出；学术成果须满足以下基本要求之一：</w:t>
      </w:r>
    </w:p>
    <w:p>
      <w:pPr>
        <w:spacing w:after="0" w:line="223" w:lineRule="exact"/>
        <w:rPr>
          <w:color w:val="auto"/>
          <w:sz w:val="20"/>
          <w:szCs w:val="20"/>
        </w:rPr>
      </w:pPr>
    </w:p>
    <w:p>
      <w:pPr>
        <w:spacing w:after="0" w:line="429" w:lineRule="exact"/>
        <w:ind w:left="200" w:right="206" w:firstLine="641"/>
        <w:rPr>
          <w:color w:val="auto"/>
          <w:sz w:val="20"/>
          <w:szCs w:val="20"/>
        </w:rPr>
      </w:pPr>
      <w:r>
        <w:rPr>
          <w:rFonts w:ascii="Arial" w:hAnsi="Arial" w:eastAsia="Arial" w:cs="Arial"/>
          <w:color w:val="auto"/>
          <w:sz w:val="32"/>
          <w:szCs w:val="32"/>
        </w:rPr>
        <w:t>1.</w:t>
      </w:r>
      <w:r>
        <w:rPr>
          <w:rFonts w:ascii="宋体" w:hAnsi="宋体" w:eastAsia="宋体" w:cs="宋体"/>
          <w:color w:val="auto"/>
          <w:sz w:val="32"/>
          <w:szCs w:val="32"/>
        </w:rPr>
        <w:t>以</w:t>
      </w:r>
      <w:r>
        <w:rPr>
          <w:rFonts w:ascii="Arial" w:hAnsi="Arial" w:eastAsia="Arial" w:cs="Arial"/>
          <w:color w:val="auto"/>
          <w:sz w:val="32"/>
          <w:szCs w:val="32"/>
        </w:rPr>
        <w:t>“</w:t>
      </w:r>
      <w:r>
        <w:rPr>
          <w:rFonts w:ascii="宋体" w:hAnsi="宋体" w:eastAsia="宋体" w:cs="宋体"/>
          <w:color w:val="auto"/>
          <w:sz w:val="32"/>
          <w:szCs w:val="32"/>
        </w:rPr>
        <w:t>中南大学</w:t>
      </w:r>
      <w:r>
        <w:rPr>
          <w:rFonts w:ascii="Arial" w:hAnsi="Arial" w:eastAsia="Arial" w:cs="Arial"/>
          <w:color w:val="auto"/>
          <w:sz w:val="32"/>
          <w:szCs w:val="32"/>
        </w:rPr>
        <w:t>”</w:t>
      </w:r>
      <w:r>
        <w:rPr>
          <w:rFonts w:ascii="宋体" w:hAnsi="宋体" w:eastAsia="宋体" w:cs="宋体"/>
          <w:color w:val="auto"/>
          <w:sz w:val="32"/>
          <w:szCs w:val="32"/>
        </w:rPr>
        <w:t>为第一署名单位，以第一作者或导师为第一作者、研究生为第二作者已发表学术论文（除Ｎ</w:t>
      </w:r>
      <w:r>
        <w:rPr>
          <w:rFonts w:ascii="Arial" w:hAnsi="Arial" w:eastAsia="Arial" w:cs="Arial"/>
          <w:color w:val="auto"/>
          <w:sz w:val="32"/>
          <w:szCs w:val="32"/>
        </w:rPr>
        <w:t xml:space="preserve">ature </w:t>
      </w:r>
      <w:r>
        <w:rPr>
          <w:rFonts w:ascii="宋体" w:hAnsi="宋体" w:eastAsia="宋体" w:cs="宋体"/>
          <w:color w:val="auto"/>
          <w:sz w:val="32"/>
          <w:szCs w:val="32"/>
        </w:rPr>
        <w:t>中</w:t>
      </w:r>
    </w:p>
    <w:p>
      <w:pPr>
        <w:spacing w:after="0" w:line="154" w:lineRule="exact"/>
        <w:rPr>
          <w:color w:val="auto"/>
          <w:sz w:val="20"/>
          <w:szCs w:val="20"/>
        </w:rPr>
      </w:pPr>
    </w:p>
    <w:p>
      <w:pPr>
        <w:numPr>
          <w:ilvl w:val="0"/>
          <w:numId w:val="3"/>
        </w:numPr>
        <w:tabs>
          <w:tab w:val="left" w:pos="600"/>
        </w:tabs>
        <w:spacing w:after="0" w:line="388" w:lineRule="exact"/>
        <w:ind w:left="600" w:hanging="396"/>
        <w:rPr>
          <w:rFonts w:ascii="宋体" w:hAnsi="宋体" w:eastAsia="宋体" w:cs="宋体"/>
          <w:color w:val="auto"/>
          <w:sz w:val="32"/>
          <w:szCs w:val="32"/>
        </w:rPr>
      </w:pPr>
      <w:r>
        <w:rPr>
          <w:rFonts w:ascii="Arial" w:hAnsi="Arial" w:eastAsia="Arial" w:cs="Arial"/>
          <w:color w:val="auto"/>
          <w:sz w:val="32"/>
          <w:szCs w:val="32"/>
        </w:rPr>
        <w:t xml:space="preserve">letter </w:t>
      </w:r>
      <w:r>
        <w:rPr>
          <w:rFonts w:ascii="宋体" w:hAnsi="宋体" w:eastAsia="宋体" w:cs="宋体"/>
          <w:color w:val="auto"/>
          <w:sz w:val="32"/>
          <w:szCs w:val="32"/>
        </w:rPr>
        <w:t>外，只限</w:t>
      </w:r>
      <w:r>
        <w:rPr>
          <w:rFonts w:ascii="Arial" w:hAnsi="Arial" w:eastAsia="Arial" w:cs="Arial"/>
          <w:color w:val="auto"/>
          <w:sz w:val="32"/>
          <w:szCs w:val="32"/>
        </w:rPr>
        <w:t xml:space="preserve"> Article</w:t>
      </w:r>
      <w:r>
        <w:rPr>
          <w:rFonts w:ascii="宋体" w:hAnsi="宋体" w:eastAsia="宋体" w:cs="宋体"/>
          <w:color w:val="auto"/>
          <w:sz w:val="32"/>
          <w:szCs w:val="32"/>
        </w:rPr>
        <w:t>）的基本要求：</w:t>
      </w:r>
    </w:p>
    <w:p>
      <w:pPr>
        <w:spacing w:after="0" w:line="164" w:lineRule="exact"/>
        <w:rPr>
          <w:rFonts w:ascii="宋体" w:hAnsi="宋体" w:eastAsia="宋体" w:cs="宋体"/>
          <w:color w:val="auto"/>
          <w:sz w:val="32"/>
          <w:szCs w:val="32"/>
        </w:rPr>
      </w:pPr>
    </w:p>
    <w:p>
      <w:pPr>
        <w:spacing w:after="0" w:line="376" w:lineRule="exact"/>
        <w:ind w:left="840"/>
        <w:rPr>
          <w:rFonts w:ascii="宋体" w:hAnsi="宋体" w:eastAsia="宋体" w:cs="宋体"/>
          <w:color w:val="auto"/>
          <w:sz w:val="32"/>
          <w:szCs w:val="32"/>
        </w:rPr>
      </w:pPr>
      <w:r>
        <w:rPr>
          <w:rFonts w:ascii="宋体" w:hAnsi="宋体" w:eastAsia="宋体" w:cs="宋体"/>
          <w:color w:val="auto"/>
          <w:sz w:val="31"/>
          <w:szCs w:val="31"/>
        </w:rPr>
        <w:t>博士研究生：人文社科类须在</w:t>
      </w:r>
      <w:r>
        <w:rPr>
          <w:rFonts w:ascii="Arial" w:hAnsi="Arial" w:eastAsia="Arial" w:cs="Arial"/>
          <w:color w:val="auto"/>
          <w:sz w:val="31"/>
          <w:szCs w:val="31"/>
        </w:rPr>
        <w:t xml:space="preserve"> SCI</w:t>
      </w:r>
      <w:r>
        <w:rPr>
          <w:rFonts w:ascii="宋体" w:hAnsi="宋体" w:eastAsia="宋体" w:cs="宋体"/>
          <w:color w:val="auto"/>
          <w:sz w:val="31"/>
          <w:szCs w:val="31"/>
        </w:rPr>
        <w:t>、</w:t>
      </w:r>
      <w:r>
        <w:rPr>
          <w:rFonts w:ascii="Arial" w:hAnsi="Arial" w:eastAsia="Arial" w:cs="Arial"/>
          <w:color w:val="auto"/>
          <w:sz w:val="31"/>
          <w:szCs w:val="31"/>
        </w:rPr>
        <w:t xml:space="preserve">SSCI </w:t>
      </w:r>
      <w:r>
        <w:rPr>
          <w:rFonts w:ascii="宋体" w:hAnsi="宋体" w:eastAsia="宋体" w:cs="宋体"/>
          <w:color w:val="auto"/>
          <w:sz w:val="31"/>
          <w:szCs w:val="31"/>
        </w:rPr>
        <w:t>或</w:t>
      </w:r>
      <w:r>
        <w:rPr>
          <w:rFonts w:ascii="Arial" w:hAnsi="Arial" w:eastAsia="Arial" w:cs="Arial"/>
          <w:color w:val="auto"/>
          <w:sz w:val="31"/>
          <w:szCs w:val="31"/>
        </w:rPr>
        <w:t xml:space="preserve"> A&amp;HCI</w:t>
      </w:r>
      <w:r>
        <w:rPr>
          <w:rFonts w:ascii="宋体" w:hAnsi="宋体" w:eastAsia="宋体" w:cs="宋体"/>
          <w:color w:val="auto"/>
          <w:sz w:val="31"/>
          <w:szCs w:val="31"/>
        </w:rPr>
        <w:t>（参照</w:t>
      </w:r>
    </w:p>
    <w:p>
      <w:pPr>
        <w:spacing w:after="0" w:line="222" w:lineRule="exact"/>
        <w:rPr>
          <w:color w:val="auto"/>
          <w:sz w:val="20"/>
          <w:szCs w:val="20"/>
        </w:rPr>
      </w:pPr>
    </w:p>
    <w:p>
      <w:pPr>
        <w:spacing w:after="0" w:line="495" w:lineRule="exact"/>
        <w:ind w:left="200" w:right="46"/>
        <w:jc w:val="both"/>
        <w:rPr>
          <w:color w:val="auto"/>
          <w:sz w:val="20"/>
          <w:szCs w:val="20"/>
        </w:rPr>
      </w:pPr>
      <w:r>
        <w:rPr>
          <w:rFonts w:ascii="Arial" w:hAnsi="Arial" w:eastAsia="Arial" w:cs="Arial"/>
          <w:color w:val="auto"/>
          <w:sz w:val="32"/>
          <w:szCs w:val="32"/>
        </w:rPr>
        <w:t xml:space="preserve">SSCI </w:t>
      </w:r>
      <w:r>
        <w:rPr>
          <w:rFonts w:ascii="宋体" w:hAnsi="宋体" w:eastAsia="宋体" w:cs="宋体"/>
          <w:color w:val="auto"/>
          <w:sz w:val="32"/>
          <w:szCs w:val="32"/>
        </w:rPr>
        <w:t>或</w:t>
      </w:r>
      <w:r>
        <w:rPr>
          <w:rFonts w:ascii="Arial" w:hAnsi="Arial" w:eastAsia="Arial" w:cs="Arial"/>
          <w:color w:val="auto"/>
          <w:sz w:val="32"/>
          <w:szCs w:val="32"/>
        </w:rPr>
        <w:t xml:space="preserve"> SCI </w:t>
      </w:r>
      <w:r>
        <w:rPr>
          <w:rFonts w:ascii="宋体" w:hAnsi="宋体" w:eastAsia="宋体" w:cs="宋体"/>
          <w:color w:val="auto"/>
          <w:sz w:val="32"/>
          <w:szCs w:val="32"/>
        </w:rPr>
        <w:t>标准认定）</w:t>
      </w:r>
      <w:r>
        <w:rPr>
          <w:rFonts w:ascii="Arial" w:hAnsi="Arial" w:eastAsia="Arial" w:cs="Arial"/>
          <w:color w:val="auto"/>
          <w:sz w:val="32"/>
          <w:szCs w:val="32"/>
        </w:rPr>
        <w:t xml:space="preserve">2 </w:t>
      </w:r>
      <w:r>
        <w:rPr>
          <w:rFonts w:ascii="宋体" w:hAnsi="宋体" w:eastAsia="宋体" w:cs="宋体"/>
          <w:color w:val="auto"/>
          <w:sz w:val="32"/>
          <w:szCs w:val="32"/>
        </w:rPr>
        <w:t>区及以上期刊发表论文</w:t>
      </w:r>
      <w:r>
        <w:rPr>
          <w:rFonts w:ascii="Arial" w:hAnsi="Arial" w:eastAsia="Arial" w:cs="Arial"/>
          <w:color w:val="auto"/>
          <w:sz w:val="32"/>
          <w:szCs w:val="32"/>
        </w:rPr>
        <w:t xml:space="preserve"> 1 </w:t>
      </w:r>
      <w:r>
        <w:rPr>
          <w:rFonts w:ascii="宋体" w:hAnsi="宋体" w:eastAsia="宋体" w:cs="宋体"/>
          <w:color w:val="auto"/>
          <w:sz w:val="32"/>
          <w:szCs w:val="32"/>
        </w:rPr>
        <w:t>篇或中南大学认定的国内重要期刊</w:t>
      </w:r>
      <w:r>
        <w:rPr>
          <w:rFonts w:ascii="Arial" w:hAnsi="Arial" w:eastAsia="Arial" w:cs="Arial"/>
          <w:color w:val="auto"/>
          <w:sz w:val="32"/>
          <w:szCs w:val="32"/>
        </w:rPr>
        <w:t xml:space="preserve"> A </w:t>
      </w:r>
      <w:r>
        <w:rPr>
          <w:rFonts w:ascii="宋体" w:hAnsi="宋体" w:eastAsia="宋体" w:cs="宋体"/>
          <w:color w:val="auto"/>
          <w:sz w:val="32"/>
          <w:szCs w:val="32"/>
        </w:rPr>
        <w:t>类期刊目录内发表论文</w:t>
      </w:r>
      <w:r>
        <w:rPr>
          <w:rFonts w:ascii="Arial" w:hAnsi="Arial" w:eastAsia="Arial" w:cs="Arial"/>
          <w:color w:val="auto"/>
          <w:sz w:val="32"/>
          <w:szCs w:val="32"/>
        </w:rPr>
        <w:t xml:space="preserve"> 1 </w:t>
      </w:r>
      <w:r>
        <w:rPr>
          <w:rFonts w:ascii="宋体" w:hAnsi="宋体" w:eastAsia="宋体" w:cs="宋体"/>
          <w:color w:val="auto"/>
          <w:sz w:val="32"/>
          <w:szCs w:val="32"/>
        </w:rPr>
        <w:t>篇，理、工、医类等其他学科须在</w:t>
      </w:r>
      <w:r>
        <w:rPr>
          <w:rFonts w:ascii="Arial" w:hAnsi="Arial" w:eastAsia="Arial" w:cs="Arial"/>
          <w:color w:val="auto"/>
          <w:sz w:val="32"/>
          <w:szCs w:val="32"/>
        </w:rPr>
        <w:t xml:space="preserve"> NI </w:t>
      </w:r>
      <w:r>
        <w:rPr>
          <w:rFonts w:ascii="宋体" w:hAnsi="宋体" w:eastAsia="宋体" w:cs="宋体"/>
          <w:color w:val="auto"/>
          <w:sz w:val="32"/>
          <w:szCs w:val="32"/>
        </w:rPr>
        <w:t>指数</w:t>
      </w:r>
      <w:r>
        <w:rPr>
          <w:rFonts w:ascii="Arial" w:hAnsi="Arial" w:eastAsia="Arial" w:cs="Arial"/>
          <w:color w:val="auto"/>
          <w:sz w:val="32"/>
          <w:szCs w:val="32"/>
        </w:rPr>
        <w:t xml:space="preserve"> 68 </w:t>
      </w:r>
      <w:r>
        <w:rPr>
          <w:rFonts w:ascii="宋体" w:hAnsi="宋体" w:eastAsia="宋体" w:cs="宋体"/>
          <w:color w:val="auto"/>
          <w:sz w:val="32"/>
          <w:szCs w:val="32"/>
        </w:rPr>
        <w:t>种学术期刊发表论文</w:t>
      </w:r>
      <w:r>
        <w:rPr>
          <w:rFonts w:ascii="Arial" w:hAnsi="Arial" w:eastAsia="Arial" w:cs="Arial"/>
          <w:color w:val="auto"/>
          <w:sz w:val="32"/>
          <w:szCs w:val="32"/>
        </w:rPr>
        <w:t xml:space="preserve"> 1 </w:t>
      </w:r>
      <w:r>
        <w:rPr>
          <w:rFonts w:ascii="宋体" w:hAnsi="宋体" w:eastAsia="宋体" w:cs="宋体"/>
          <w:color w:val="auto"/>
          <w:sz w:val="32"/>
          <w:szCs w:val="32"/>
        </w:rPr>
        <w:t>篇或在中科院最新</w:t>
      </w:r>
      <w:r>
        <w:rPr>
          <w:rFonts w:ascii="Arial" w:hAnsi="Arial" w:eastAsia="Arial" w:cs="Arial"/>
          <w:color w:val="auto"/>
          <w:sz w:val="32"/>
          <w:szCs w:val="32"/>
        </w:rPr>
        <w:t xml:space="preserve"> SCI </w:t>
      </w:r>
      <w:r>
        <w:rPr>
          <w:rFonts w:ascii="宋体" w:hAnsi="宋体" w:eastAsia="宋体" w:cs="宋体"/>
          <w:color w:val="auto"/>
          <w:sz w:val="32"/>
          <w:szCs w:val="32"/>
        </w:rPr>
        <w:t>收录期刊</w:t>
      </w:r>
      <w:r>
        <w:rPr>
          <w:rFonts w:ascii="Arial" w:hAnsi="Arial" w:eastAsia="Arial" w:cs="Arial"/>
          <w:color w:val="auto"/>
          <w:sz w:val="32"/>
          <w:szCs w:val="32"/>
        </w:rPr>
        <w:t xml:space="preserve"> 2 </w:t>
      </w:r>
      <w:r>
        <w:rPr>
          <w:rFonts w:ascii="宋体" w:hAnsi="宋体" w:eastAsia="宋体" w:cs="宋体"/>
          <w:color w:val="auto"/>
          <w:sz w:val="32"/>
          <w:szCs w:val="32"/>
        </w:rPr>
        <w:t>区及以上发表论文</w:t>
      </w:r>
      <w:r>
        <w:rPr>
          <w:rFonts w:ascii="Arial" w:hAnsi="Arial" w:eastAsia="Arial" w:cs="Arial"/>
          <w:color w:val="auto"/>
          <w:sz w:val="32"/>
          <w:szCs w:val="32"/>
        </w:rPr>
        <w:t xml:space="preserve"> 1 </w:t>
      </w:r>
      <w:r>
        <w:rPr>
          <w:rFonts w:ascii="宋体" w:hAnsi="宋体" w:eastAsia="宋体" w:cs="宋体"/>
          <w:color w:val="auto"/>
          <w:sz w:val="32"/>
          <w:szCs w:val="32"/>
        </w:rPr>
        <w:t>篇（除计算机学会认定的Ａ类会议论文外，其他会议论文不算）。</w:t>
      </w:r>
    </w:p>
    <w:p>
      <w:pPr>
        <w:spacing w:after="0" w:line="228" w:lineRule="exact"/>
        <w:rPr>
          <w:color w:val="auto"/>
          <w:sz w:val="20"/>
          <w:szCs w:val="20"/>
        </w:rPr>
      </w:pPr>
    </w:p>
    <w:p>
      <w:pPr>
        <w:spacing w:after="0" w:line="496" w:lineRule="exact"/>
        <w:ind w:left="200" w:right="206" w:firstLine="641"/>
        <w:jc w:val="both"/>
        <w:rPr>
          <w:color w:val="auto"/>
          <w:sz w:val="20"/>
          <w:szCs w:val="20"/>
        </w:rPr>
      </w:pPr>
      <w:r>
        <w:rPr>
          <w:rFonts w:ascii="宋体" w:hAnsi="宋体" w:eastAsia="宋体" w:cs="宋体"/>
          <w:color w:val="auto"/>
          <w:sz w:val="30"/>
          <w:szCs w:val="30"/>
        </w:rPr>
        <w:t>硕士研究生：人文社科类须在</w:t>
      </w:r>
      <w:r>
        <w:rPr>
          <w:rFonts w:ascii="Arial" w:hAnsi="Arial" w:eastAsia="Arial" w:cs="Arial"/>
          <w:color w:val="auto"/>
          <w:sz w:val="30"/>
          <w:szCs w:val="30"/>
        </w:rPr>
        <w:t xml:space="preserve"> SCI</w:t>
      </w:r>
      <w:r>
        <w:rPr>
          <w:rFonts w:ascii="宋体" w:hAnsi="宋体" w:eastAsia="宋体" w:cs="宋体"/>
          <w:color w:val="auto"/>
          <w:sz w:val="30"/>
          <w:szCs w:val="30"/>
        </w:rPr>
        <w:t>、</w:t>
      </w:r>
      <w:r>
        <w:rPr>
          <w:rFonts w:ascii="Arial" w:hAnsi="Arial" w:eastAsia="Arial" w:cs="Arial"/>
          <w:color w:val="auto"/>
          <w:sz w:val="30"/>
          <w:szCs w:val="30"/>
        </w:rPr>
        <w:t xml:space="preserve">SSCI </w:t>
      </w:r>
      <w:r>
        <w:rPr>
          <w:rFonts w:ascii="宋体" w:hAnsi="宋体" w:eastAsia="宋体" w:cs="宋体"/>
          <w:color w:val="auto"/>
          <w:sz w:val="30"/>
          <w:szCs w:val="30"/>
        </w:rPr>
        <w:t>或</w:t>
      </w:r>
      <w:r>
        <w:rPr>
          <w:rFonts w:ascii="Arial" w:hAnsi="Arial" w:eastAsia="Arial" w:cs="Arial"/>
          <w:color w:val="auto"/>
          <w:sz w:val="30"/>
          <w:szCs w:val="30"/>
        </w:rPr>
        <w:t xml:space="preserve"> A&amp;HCI</w:t>
      </w:r>
      <w:r>
        <w:rPr>
          <w:rFonts w:ascii="宋体" w:hAnsi="宋体" w:eastAsia="宋体" w:cs="宋体"/>
          <w:color w:val="auto"/>
          <w:sz w:val="30"/>
          <w:szCs w:val="30"/>
        </w:rPr>
        <w:t>（参照</w:t>
      </w:r>
      <w:r>
        <w:rPr>
          <w:rFonts w:ascii="Arial" w:hAnsi="Arial" w:eastAsia="Arial" w:cs="Arial"/>
          <w:color w:val="auto"/>
          <w:sz w:val="30"/>
          <w:szCs w:val="30"/>
        </w:rPr>
        <w:t xml:space="preserve"> SSCI </w:t>
      </w:r>
      <w:r>
        <w:rPr>
          <w:rFonts w:ascii="宋体" w:hAnsi="宋体" w:eastAsia="宋体" w:cs="宋体"/>
          <w:color w:val="auto"/>
          <w:sz w:val="30"/>
          <w:szCs w:val="30"/>
        </w:rPr>
        <w:t>或</w:t>
      </w:r>
      <w:r>
        <w:rPr>
          <w:rFonts w:ascii="Arial" w:hAnsi="Arial" w:eastAsia="Arial" w:cs="Arial"/>
          <w:color w:val="auto"/>
          <w:sz w:val="30"/>
          <w:szCs w:val="30"/>
        </w:rPr>
        <w:t xml:space="preserve"> SCI </w:t>
      </w:r>
      <w:r>
        <w:rPr>
          <w:rFonts w:ascii="宋体" w:hAnsi="宋体" w:eastAsia="宋体" w:cs="宋体"/>
          <w:color w:val="auto"/>
          <w:sz w:val="30"/>
          <w:szCs w:val="30"/>
        </w:rPr>
        <w:t>标准认定）期刊发表论文</w:t>
      </w:r>
      <w:r>
        <w:rPr>
          <w:rFonts w:ascii="Arial" w:hAnsi="Arial" w:eastAsia="Arial" w:cs="Arial"/>
          <w:color w:val="auto"/>
          <w:sz w:val="30"/>
          <w:szCs w:val="30"/>
        </w:rPr>
        <w:t xml:space="preserve"> 1 </w:t>
      </w:r>
      <w:r>
        <w:rPr>
          <w:rFonts w:ascii="宋体" w:hAnsi="宋体" w:eastAsia="宋体" w:cs="宋体"/>
          <w:color w:val="auto"/>
          <w:sz w:val="30"/>
          <w:szCs w:val="30"/>
        </w:rPr>
        <w:t>篇或中南大学认定的国内重要期刊</w:t>
      </w:r>
      <w:r>
        <w:rPr>
          <w:rFonts w:ascii="Arial" w:hAnsi="Arial" w:eastAsia="Arial" w:cs="Arial"/>
          <w:color w:val="auto"/>
          <w:sz w:val="30"/>
          <w:szCs w:val="30"/>
        </w:rPr>
        <w:t xml:space="preserve"> A</w:t>
      </w:r>
      <w:r>
        <w:rPr>
          <w:rFonts w:ascii="宋体" w:hAnsi="宋体" w:eastAsia="宋体" w:cs="宋体"/>
          <w:color w:val="auto"/>
          <w:sz w:val="30"/>
          <w:szCs w:val="30"/>
        </w:rPr>
        <w:t>、</w:t>
      </w:r>
      <w:r>
        <w:rPr>
          <w:rFonts w:ascii="Arial" w:hAnsi="Arial" w:eastAsia="Arial" w:cs="Arial"/>
          <w:color w:val="auto"/>
          <w:sz w:val="30"/>
          <w:szCs w:val="30"/>
        </w:rPr>
        <w:t>B</w:t>
      </w:r>
      <w:r>
        <w:rPr>
          <w:rFonts w:ascii="宋体" w:hAnsi="宋体" w:eastAsia="宋体" w:cs="宋体"/>
          <w:color w:val="auto"/>
          <w:sz w:val="30"/>
          <w:szCs w:val="30"/>
        </w:rPr>
        <w:t>、</w:t>
      </w:r>
      <w:r>
        <w:rPr>
          <w:rFonts w:ascii="Arial" w:hAnsi="Arial" w:eastAsia="Arial" w:cs="Arial"/>
          <w:color w:val="auto"/>
          <w:sz w:val="30"/>
          <w:szCs w:val="30"/>
        </w:rPr>
        <w:t xml:space="preserve">C </w:t>
      </w:r>
      <w:r>
        <w:rPr>
          <w:rFonts w:ascii="宋体" w:hAnsi="宋体" w:eastAsia="宋体" w:cs="宋体"/>
          <w:color w:val="auto"/>
          <w:sz w:val="30"/>
          <w:szCs w:val="30"/>
        </w:rPr>
        <w:t>类期刊目录内发表论文</w:t>
      </w:r>
      <w:r>
        <w:rPr>
          <w:rFonts w:ascii="Arial" w:hAnsi="Arial" w:eastAsia="Arial" w:cs="Arial"/>
          <w:color w:val="auto"/>
          <w:sz w:val="30"/>
          <w:szCs w:val="30"/>
        </w:rPr>
        <w:t xml:space="preserve"> 1 </w:t>
      </w:r>
      <w:r>
        <w:rPr>
          <w:rFonts w:ascii="宋体" w:hAnsi="宋体" w:eastAsia="宋体" w:cs="宋体"/>
          <w:color w:val="auto"/>
          <w:sz w:val="30"/>
          <w:szCs w:val="30"/>
        </w:rPr>
        <w:t>篇，理、工、医类等其他学科须在</w:t>
      </w:r>
      <w:r>
        <w:rPr>
          <w:rFonts w:ascii="Arial" w:hAnsi="Arial" w:eastAsia="Arial" w:cs="Arial"/>
          <w:color w:val="auto"/>
          <w:sz w:val="30"/>
          <w:szCs w:val="30"/>
        </w:rPr>
        <w:t xml:space="preserve"> SCI</w:t>
      </w:r>
      <w:r>
        <w:rPr>
          <w:rFonts w:ascii="宋体" w:hAnsi="宋体" w:eastAsia="宋体" w:cs="宋体"/>
          <w:color w:val="auto"/>
          <w:sz w:val="30"/>
          <w:szCs w:val="30"/>
        </w:rPr>
        <w:t>、</w:t>
      </w:r>
      <w:r>
        <w:rPr>
          <w:rFonts w:ascii="Arial" w:hAnsi="Arial" w:eastAsia="Arial" w:cs="Arial"/>
          <w:color w:val="auto"/>
          <w:sz w:val="30"/>
          <w:szCs w:val="30"/>
        </w:rPr>
        <w:t xml:space="preserve">EI </w:t>
      </w:r>
      <w:r>
        <w:rPr>
          <w:rFonts w:ascii="宋体" w:hAnsi="宋体" w:eastAsia="宋体" w:cs="宋体"/>
          <w:color w:val="auto"/>
          <w:sz w:val="30"/>
          <w:szCs w:val="30"/>
        </w:rPr>
        <w:t>收录期刊发表论文</w:t>
      </w:r>
      <w:r>
        <w:rPr>
          <w:rFonts w:ascii="Arial" w:hAnsi="Arial" w:eastAsia="Arial" w:cs="Arial"/>
          <w:color w:val="auto"/>
          <w:sz w:val="30"/>
          <w:szCs w:val="30"/>
        </w:rPr>
        <w:t xml:space="preserve"> 1 </w:t>
      </w:r>
      <w:r>
        <w:rPr>
          <w:rFonts w:ascii="宋体" w:hAnsi="宋体" w:eastAsia="宋体" w:cs="宋体"/>
          <w:color w:val="auto"/>
          <w:sz w:val="30"/>
          <w:szCs w:val="30"/>
        </w:rPr>
        <w:t>篇（除计算机学会认定的Ａ、Ｂ类会议论文外，其他会议论文不算）；</w:t>
      </w:r>
    </w:p>
    <w:p>
      <w:pPr>
        <w:spacing w:after="0" w:line="222" w:lineRule="exact"/>
        <w:rPr>
          <w:color w:val="auto"/>
          <w:sz w:val="20"/>
          <w:szCs w:val="20"/>
        </w:rPr>
      </w:pPr>
    </w:p>
    <w:p>
      <w:pPr>
        <w:spacing w:after="0" w:line="466" w:lineRule="exact"/>
        <w:ind w:left="200" w:right="206" w:firstLine="641"/>
        <w:jc w:val="both"/>
        <w:rPr>
          <w:color w:val="auto"/>
          <w:sz w:val="20"/>
          <w:szCs w:val="20"/>
        </w:rPr>
      </w:pPr>
      <w:r>
        <w:rPr>
          <w:rFonts w:ascii="Arial" w:hAnsi="Arial" w:eastAsia="Arial" w:cs="Arial"/>
          <w:color w:val="auto"/>
          <w:sz w:val="32"/>
          <w:szCs w:val="32"/>
        </w:rPr>
        <w:t>2.</w:t>
      </w:r>
      <w:r>
        <w:rPr>
          <w:rFonts w:ascii="宋体" w:hAnsi="宋体" w:eastAsia="宋体" w:cs="宋体"/>
          <w:color w:val="auto"/>
          <w:sz w:val="32"/>
          <w:szCs w:val="32"/>
        </w:rPr>
        <w:t>以中南大学为第一完成单位且研究生本人以第一申请人（或导师为第一申请人，研究生为第二申请人）获得国家授权发明专利：博士研究生</w:t>
      </w:r>
      <w:r>
        <w:rPr>
          <w:rFonts w:ascii="Arial" w:hAnsi="Arial" w:eastAsia="Arial" w:cs="Arial"/>
          <w:color w:val="auto"/>
          <w:sz w:val="32"/>
          <w:szCs w:val="32"/>
        </w:rPr>
        <w:t xml:space="preserve"> 2 </w:t>
      </w:r>
      <w:r>
        <w:rPr>
          <w:rFonts w:ascii="宋体" w:hAnsi="宋体" w:eastAsia="宋体" w:cs="宋体"/>
          <w:color w:val="auto"/>
          <w:sz w:val="32"/>
          <w:szCs w:val="32"/>
        </w:rPr>
        <w:t>项，硕士研究生</w:t>
      </w:r>
      <w:r>
        <w:rPr>
          <w:rFonts w:ascii="Arial" w:hAnsi="Arial" w:eastAsia="Arial" w:cs="Arial"/>
          <w:color w:val="auto"/>
          <w:sz w:val="32"/>
          <w:szCs w:val="32"/>
        </w:rPr>
        <w:t xml:space="preserve"> 1 </w:t>
      </w:r>
      <w:r>
        <w:rPr>
          <w:rFonts w:ascii="宋体" w:hAnsi="宋体" w:eastAsia="宋体" w:cs="宋体"/>
          <w:color w:val="auto"/>
          <w:sz w:val="32"/>
          <w:szCs w:val="32"/>
        </w:rPr>
        <w:t>项；</w:t>
      </w:r>
    </w:p>
    <w:p>
      <w:pPr>
        <w:spacing w:after="0" w:line="224" w:lineRule="exact"/>
        <w:rPr>
          <w:color w:val="auto"/>
          <w:sz w:val="20"/>
          <w:szCs w:val="20"/>
        </w:rPr>
      </w:pPr>
    </w:p>
    <w:p>
      <w:pPr>
        <w:spacing w:after="0" w:line="429" w:lineRule="exact"/>
        <w:ind w:left="200" w:right="186" w:firstLine="641"/>
        <w:rPr>
          <w:color w:val="auto"/>
          <w:sz w:val="20"/>
          <w:szCs w:val="20"/>
        </w:rPr>
      </w:pPr>
      <w:r>
        <w:rPr>
          <w:rFonts w:ascii="Arial" w:hAnsi="Arial" w:eastAsia="Arial" w:cs="Arial"/>
          <w:color w:val="auto"/>
          <w:sz w:val="32"/>
          <w:szCs w:val="32"/>
        </w:rPr>
        <w:t>3.</w:t>
      </w:r>
      <w:r>
        <w:rPr>
          <w:rFonts w:ascii="宋体" w:hAnsi="宋体" w:eastAsia="宋体" w:cs="宋体"/>
          <w:color w:val="auto"/>
          <w:sz w:val="32"/>
          <w:szCs w:val="32"/>
        </w:rPr>
        <w:t>博士研究生获国际、国家级学科竞赛一等奖以上奖励，排名第一；</w:t>
      </w:r>
    </w:p>
    <w:p>
      <w:pPr>
        <w:spacing w:after="0" w:line="224" w:lineRule="exact"/>
        <w:rPr>
          <w:color w:val="auto"/>
          <w:sz w:val="20"/>
          <w:szCs w:val="20"/>
        </w:rPr>
      </w:pPr>
    </w:p>
    <w:p>
      <w:pPr>
        <w:spacing w:after="0" w:line="429" w:lineRule="exact"/>
        <w:ind w:left="200" w:right="206" w:firstLine="641"/>
        <w:rPr>
          <w:color w:val="auto"/>
          <w:sz w:val="20"/>
          <w:szCs w:val="20"/>
        </w:rPr>
      </w:pPr>
      <w:r>
        <w:rPr>
          <w:rFonts w:ascii="宋体" w:hAnsi="宋体" w:eastAsia="宋体" w:cs="宋体"/>
          <w:color w:val="auto"/>
          <w:sz w:val="32"/>
          <w:szCs w:val="32"/>
        </w:rPr>
        <w:t>硕士研究生获国际、国家级学科竞赛二等及以上奖励，排名第一；</w:t>
      </w:r>
    </w:p>
    <w:p>
      <w:pPr>
        <w:spacing w:after="0" w:line="152" w:lineRule="exact"/>
        <w:rPr>
          <w:color w:val="auto"/>
          <w:sz w:val="20"/>
          <w:szCs w:val="20"/>
        </w:rPr>
      </w:pPr>
    </w:p>
    <w:p>
      <w:pPr>
        <w:spacing w:after="0" w:line="388" w:lineRule="exact"/>
        <w:ind w:left="840"/>
        <w:rPr>
          <w:color w:val="auto"/>
          <w:sz w:val="20"/>
          <w:szCs w:val="20"/>
        </w:rPr>
      </w:pPr>
      <w:r>
        <w:rPr>
          <w:rFonts w:ascii="Arial" w:hAnsi="Arial" w:eastAsia="Arial" w:cs="Arial"/>
          <w:color w:val="auto"/>
          <w:sz w:val="32"/>
          <w:szCs w:val="32"/>
        </w:rPr>
        <w:t>4.</w:t>
      </w:r>
      <w:r>
        <w:rPr>
          <w:rFonts w:ascii="宋体" w:hAnsi="宋体" w:eastAsia="宋体" w:cs="宋体"/>
          <w:color w:val="auto"/>
          <w:sz w:val="32"/>
          <w:szCs w:val="32"/>
        </w:rPr>
        <w:t>博士研究生获国家自然科学奖、国家技术发明奖、国家</w:t>
      </w:r>
    </w:p>
    <w:p>
      <w:pPr>
        <w:sectPr>
          <w:pgSz w:w="11900" w:h="16838"/>
          <w:pgMar w:top="1440" w:right="1440" w:bottom="463" w:left="1440" w:header="0" w:footer="0" w:gutter="0"/>
          <w:cols w:equalWidth="0" w:num="1">
            <w:col w:w="9026"/>
          </w:cols>
        </w:sectPr>
      </w:pPr>
    </w:p>
    <w:p>
      <w:pPr>
        <w:spacing w:after="0" w:line="398" w:lineRule="exact"/>
        <w:rPr>
          <w:color w:val="auto"/>
          <w:sz w:val="20"/>
          <w:szCs w:val="20"/>
        </w:rPr>
      </w:pPr>
    </w:p>
    <w:p>
      <w:pPr>
        <w:spacing w:after="0" w:line="274" w:lineRule="exact"/>
        <w:ind w:left="8220"/>
        <w:rPr>
          <w:color w:val="auto"/>
          <w:sz w:val="20"/>
          <w:szCs w:val="20"/>
        </w:rPr>
      </w:pPr>
      <w:r>
        <w:rPr>
          <w:rFonts w:ascii="宋体" w:hAnsi="宋体" w:eastAsia="宋体" w:cs="宋体"/>
          <w:color w:val="auto"/>
          <w:sz w:val="24"/>
          <w:szCs w:val="24"/>
        </w:rPr>
        <w:t>―3―</w:t>
      </w:r>
    </w:p>
    <w:p>
      <w:pPr>
        <w:sectPr>
          <w:type w:val="continuous"/>
          <w:pgSz w:w="11900" w:h="16838"/>
          <w:pgMar w:top="1440" w:right="1440" w:bottom="463" w:left="1440" w:header="0" w:footer="0" w:gutter="0"/>
          <w:cols w:equalWidth="0" w:num="1">
            <w:col w:w="9026"/>
          </w:cols>
        </w:sectPr>
      </w:pPr>
    </w:p>
    <w:p>
      <w:pPr>
        <w:spacing w:after="0" w:line="200" w:lineRule="exact"/>
        <w:rPr>
          <w:color w:val="auto"/>
          <w:sz w:val="20"/>
          <w:szCs w:val="20"/>
        </w:rPr>
      </w:pPr>
      <w:bookmarkStart w:id="3" w:name="page4"/>
      <w:bookmarkEnd w:id="3"/>
    </w:p>
    <w:p>
      <w:pPr>
        <w:spacing w:after="0" w:line="221" w:lineRule="exact"/>
        <w:rPr>
          <w:color w:val="auto"/>
          <w:sz w:val="20"/>
          <w:szCs w:val="20"/>
        </w:rPr>
      </w:pPr>
    </w:p>
    <w:p>
      <w:pPr>
        <w:spacing w:after="0" w:line="429" w:lineRule="exact"/>
        <w:ind w:left="200" w:right="186"/>
        <w:rPr>
          <w:color w:val="auto"/>
          <w:sz w:val="20"/>
          <w:szCs w:val="20"/>
        </w:rPr>
      </w:pPr>
      <w:r>
        <w:rPr>
          <w:rFonts w:ascii="宋体" w:hAnsi="宋体" w:eastAsia="宋体" w:cs="宋体"/>
          <w:color w:val="auto"/>
          <w:sz w:val="32"/>
          <w:szCs w:val="32"/>
        </w:rPr>
        <w:t>科技进步奖、高等学校科学研究优秀成果奖（人文社会科学）或省部级科技奖一等奖，排名前五；</w:t>
      </w:r>
    </w:p>
    <w:p>
      <w:pPr>
        <w:spacing w:after="0" w:line="222" w:lineRule="exact"/>
        <w:rPr>
          <w:color w:val="auto"/>
          <w:sz w:val="20"/>
          <w:szCs w:val="20"/>
        </w:rPr>
      </w:pPr>
    </w:p>
    <w:p>
      <w:pPr>
        <w:spacing w:after="0" w:line="429" w:lineRule="exact"/>
        <w:ind w:left="840" w:right="186"/>
        <w:rPr>
          <w:rFonts w:ascii="宋体" w:hAnsi="宋体" w:eastAsia="宋体" w:cs="宋体"/>
          <w:color w:val="auto"/>
          <w:sz w:val="31"/>
          <w:szCs w:val="31"/>
        </w:rPr>
      </w:pPr>
      <w:r>
        <w:rPr>
          <w:rFonts w:ascii="宋体" w:hAnsi="宋体" w:eastAsia="宋体" w:cs="宋体"/>
          <w:color w:val="auto"/>
          <w:sz w:val="31"/>
          <w:szCs w:val="31"/>
        </w:rPr>
        <w:t>硕士研究生获省部级科技奖二等及以上奖励，排名前五；</w:t>
      </w:r>
    </w:p>
    <w:p>
      <w:pPr>
        <w:spacing w:after="0" w:line="429" w:lineRule="exact"/>
        <w:ind w:left="840" w:right="186"/>
        <w:rPr>
          <w:color w:val="auto"/>
          <w:sz w:val="20"/>
          <w:szCs w:val="20"/>
        </w:rPr>
      </w:pPr>
      <w:bookmarkStart w:id="11" w:name="_GoBack"/>
      <w:bookmarkEnd w:id="11"/>
      <w:r>
        <w:rPr>
          <w:rFonts w:ascii="Arial" w:hAnsi="Arial" w:eastAsia="Arial" w:cs="Arial"/>
          <w:color w:val="auto"/>
          <w:sz w:val="31"/>
          <w:szCs w:val="31"/>
        </w:rPr>
        <w:t>5.</w:t>
      </w:r>
      <w:r>
        <w:rPr>
          <w:rFonts w:ascii="宋体" w:hAnsi="宋体" w:eastAsia="宋体" w:cs="宋体"/>
          <w:color w:val="auto"/>
          <w:sz w:val="31"/>
          <w:szCs w:val="31"/>
        </w:rPr>
        <w:t>作为主要成员（博士生个人排名前</w:t>
      </w:r>
      <w:r>
        <w:rPr>
          <w:rFonts w:ascii="Arial" w:hAnsi="Arial" w:eastAsia="Arial" w:cs="Arial"/>
          <w:color w:val="auto"/>
          <w:sz w:val="31"/>
          <w:szCs w:val="31"/>
        </w:rPr>
        <w:t xml:space="preserve"> 5</w:t>
      </w:r>
      <w:r>
        <w:rPr>
          <w:rFonts w:ascii="宋体" w:hAnsi="宋体" w:eastAsia="宋体" w:cs="宋体"/>
          <w:color w:val="auto"/>
          <w:sz w:val="31"/>
          <w:szCs w:val="31"/>
        </w:rPr>
        <w:t>，硕士生个人排名</w:t>
      </w:r>
    </w:p>
    <w:p>
      <w:pPr>
        <w:spacing w:after="0" w:line="223" w:lineRule="exact"/>
        <w:rPr>
          <w:color w:val="auto"/>
          <w:sz w:val="20"/>
          <w:szCs w:val="20"/>
        </w:rPr>
      </w:pPr>
    </w:p>
    <w:p>
      <w:pPr>
        <w:numPr>
          <w:ilvl w:val="0"/>
          <w:numId w:val="4"/>
        </w:numPr>
        <w:tabs>
          <w:tab w:val="left" w:pos="601"/>
        </w:tabs>
        <w:spacing w:after="0" w:line="429" w:lineRule="exact"/>
        <w:ind w:left="200" w:right="206" w:firstLine="4"/>
        <w:rPr>
          <w:rFonts w:ascii="宋体" w:hAnsi="宋体" w:eastAsia="宋体" w:cs="宋体"/>
          <w:color w:val="auto"/>
          <w:sz w:val="32"/>
          <w:szCs w:val="32"/>
        </w:rPr>
      </w:pPr>
      <w:r>
        <w:rPr>
          <w:rFonts w:ascii="Arial" w:hAnsi="Arial" w:eastAsia="Arial" w:cs="Arial"/>
          <w:color w:val="auto"/>
          <w:sz w:val="32"/>
          <w:szCs w:val="32"/>
        </w:rPr>
        <w:t>8</w:t>
      </w:r>
      <w:r>
        <w:rPr>
          <w:rFonts w:ascii="宋体" w:hAnsi="宋体" w:eastAsia="宋体" w:cs="宋体"/>
          <w:color w:val="auto"/>
          <w:sz w:val="32"/>
          <w:szCs w:val="32"/>
        </w:rPr>
        <w:t>）提交的咨询报告被党和国家领导人予以重要批示并产生重大影响。</w:t>
      </w:r>
    </w:p>
    <w:p>
      <w:pPr>
        <w:spacing w:after="0" w:line="153" w:lineRule="exact"/>
        <w:rPr>
          <w:rFonts w:ascii="宋体" w:hAnsi="宋体" w:eastAsia="宋体" w:cs="宋体"/>
          <w:color w:val="auto"/>
          <w:sz w:val="32"/>
          <w:szCs w:val="32"/>
        </w:rPr>
      </w:pPr>
    </w:p>
    <w:p>
      <w:pPr>
        <w:spacing w:after="0" w:line="388" w:lineRule="exact"/>
        <w:ind w:left="840"/>
        <w:rPr>
          <w:rFonts w:ascii="宋体" w:hAnsi="宋体" w:eastAsia="宋体" w:cs="宋体"/>
          <w:color w:val="auto"/>
          <w:sz w:val="32"/>
          <w:szCs w:val="32"/>
        </w:rPr>
      </w:pPr>
      <w:r>
        <w:rPr>
          <w:rFonts w:ascii="Arial" w:hAnsi="Arial" w:eastAsia="Arial" w:cs="Arial"/>
          <w:color w:val="auto"/>
          <w:sz w:val="32"/>
          <w:szCs w:val="32"/>
        </w:rPr>
        <w:t>6.</w:t>
      </w:r>
      <w:r>
        <w:rPr>
          <w:rFonts w:ascii="宋体" w:hAnsi="宋体" w:eastAsia="宋体" w:cs="宋体"/>
          <w:color w:val="auto"/>
          <w:sz w:val="32"/>
          <w:szCs w:val="32"/>
        </w:rPr>
        <w:t>作出特殊贡献，取得突出社会效益。</w:t>
      </w:r>
    </w:p>
    <w:p>
      <w:pPr>
        <w:spacing w:after="0" w:line="221" w:lineRule="exact"/>
        <w:rPr>
          <w:rFonts w:ascii="宋体" w:hAnsi="宋体" w:eastAsia="宋体" w:cs="宋体"/>
          <w:color w:val="auto"/>
          <w:sz w:val="32"/>
          <w:szCs w:val="32"/>
        </w:rPr>
      </w:pPr>
    </w:p>
    <w:p>
      <w:pPr>
        <w:spacing w:after="0" w:line="429" w:lineRule="exact"/>
        <w:ind w:left="200" w:right="206" w:firstLine="480"/>
        <w:rPr>
          <w:rFonts w:ascii="宋体" w:hAnsi="宋体" w:eastAsia="宋体" w:cs="宋体"/>
          <w:color w:val="auto"/>
          <w:sz w:val="32"/>
          <w:szCs w:val="32"/>
        </w:rPr>
      </w:pPr>
      <w:r>
        <w:rPr>
          <w:rFonts w:ascii="宋体" w:hAnsi="宋体" w:eastAsia="宋体" w:cs="宋体"/>
          <w:color w:val="auto"/>
          <w:sz w:val="32"/>
          <w:szCs w:val="32"/>
        </w:rPr>
        <w:t>（六）积极参加学术活动、实验室建设、学生工作以及服务实践等活动；</w:t>
      </w:r>
    </w:p>
    <w:p>
      <w:pPr>
        <w:spacing w:after="0" w:line="222" w:lineRule="exact"/>
        <w:rPr>
          <w:rFonts w:ascii="宋体" w:hAnsi="宋体" w:eastAsia="宋体" w:cs="宋体"/>
          <w:color w:val="auto"/>
          <w:sz w:val="32"/>
          <w:szCs w:val="32"/>
        </w:rPr>
      </w:pPr>
    </w:p>
    <w:p>
      <w:pPr>
        <w:spacing w:after="0" w:line="429" w:lineRule="exact"/>
        <w:ind w:left="200" w:right="206" w:firstLine="650"/>
        <w:rPr>
          <w:rFonts w:ascii="宋体" w:hAnsi="宋体" w:eastAsia="宋体" w:cs="宋体"/>
          <w:color w:val="auto"/>
          <w:sz w:val="32"/>
          <w:szCs w:val="32"/>
        </w:rPr>
      </w:pPr>
      <w:r>
        <w:rPr>
          <w:rFonts w:ascii="宋体" w:hAnsi="宋体" w:eastAsia="宋体" w:cs="宋体"/>
          <w:color w:val="auto"/>
          <w:sz w:val="32"/>
          <w:szCs w:val="32"/>
        </w:rPr>
        <w:t>第六条 研究生出现以下任一情况，不具备当年研究生国家奖学金参评资格：</w:t>
      </w:r>
    </w:p>
    <w:p>
      <w:pPr>
        <w:spacing w:after="0" w:line="186" w:lineRule="exact"/>
        <w:rPr>
          <w:rFonts w:ascii="宋体" w:hAnsi="宋体" w:eastAsia="宋体" w:cs="宋体"/>
          <w:color w:val="auto"/>
          <w:sz w:val="32"/>
          <w:szCs w:val="32"/>
        </w:rPr>
      </w:pPr>
    </w:p>
    <w:p>
      <w:pPr>
        <w:spacing w:after="0" w:line="354" w:lineRule="exact"/>
        <w:ind w:left="840"/>
        <w:rPr>
          <w:rFonts w:ascii="宋体" w:hAnsi="宋体" w:eastAsia="宋体" w:cs="宋体"/>
          <w:color w:val="auto"/>
          <w:sz w:val="32"/>
          <w:szCs w:val="32"/>
        </w:rPr>
      </w:pPr>
      <w:r>
        <w:rPr>
          <w:rFonts w:ascii="宋体" w:hAnsi="宋体" w:eastAsia="宋体" w:cs="宋体"/>
          <w:color w:val="auto"/>
          <w:sz w:val="31"/>
          <w:szCs w:val="31"/>
        </w:rPr>
        <w:t>（一）上学年违反国家法律、校纪校规受到纪律处分者；</w:t>
      </w:r>
    </w:p>
    <w:p>
      <w:pPr>
        <w:spacing w:after="0" w:line="221" w:lineRule="exact"/>
        <w:rPr>
          <w:rFonts w:ascii="宋体" w:hAnsi="宋体" w:eastAsia="宋体" w:cs="宋体"/>
          <w:color w:val="auto"/>
          <w:sz w:val="32"/>
          <w:szCs w:val="32"/>
        </w:rPr>
      </w:pPr>
    </w:p>
    <w:p>
      <w:pPr>
        <w:spacing w:after="0" w:line="429" w:lineRule="exact"/>
        <w:ind w:left="200" w:right="206" w:firstLine="641"/>
        <w:rPr>
          <w:rFonts w:ascii="宋体" w:hAnsi="宋体" w:eastAsia="宋体" w:cs="宋体"/>
          <w:color w:val="auto"/>
          <w:sz w:val="32"/>
          <w:szCs w:val="32"/>
        </w:rPr>
      </w:pPr>
      <w:r>
        <w:rPr>
          <w:rFonts w:ascii="宋体" w:hAnsi="宋体" w:eastAsia="宋体" w:cs="宋体"/>
          <w:color w:val="auto"/>
          <w:sz w:val="32"/>
          <w:szCs w:val="32"/>
        </w:rPr>
        <w:t>（二）上学年有抄袭剽窃、弄虚作假等学术不端行为经查证属实的；</w:t>
      </w:r>
    </w:p>
    <w:p>
      <w:pPr>
        <w:spacing w:after="0" w:line="175" w:lineRule="exact"/>
        <w:rPr>
          <w:rFonts w:ascii="宋体" w:hAnsi="宋体" w:eastAsia="宋体" w:cs="宋体"/>
          <w:color w:val="auto"/>
          <w:sz w:val="32"/>
          <w:szCs w:val="32"/>
        </w:rPr>
      </w:pPr>
    </w:p>
    <w:p>
      <w:pPr>
        <w:spacing w:after="0" w:line="366" w:lineRule="exact"/>
        <w:ind w:left="840"/>
        <w:rPr>
          <w:rFonts w:ascii="宋体" w:hAnsi="宋体" w:eastAsia="宋体" w:cs="宋体"/>
          <w:color w:val="auto"/>
          <w:sz w:val="32"/>
          <w:szCs w:val="32"/>
        </w:rPr>
      </w:pPr>
      <w:r>
        <w:rPr>
          <w:rFonts w:ascii="宋体" w:hAnsi="宋体" w:eastAsia="宋体" w:cs="宋体"/>
          <w:color w:val="auto"/>
          <w:sz w:val="32"/>
          <w:szCs w:val="32"/>
        </w:rPr>
        <w:t>（三）参评时有学位课程成绩不及格者；</w:t>
      </w:r>
    </w:p>
    <w:p>
      <w:pPr>
        <w:spacing w:after="0" w:line="175" w:lineRule="exact"/>
        <w:rPr>
          <w:rFonts w:ascii="宋体" w:hAnsi="宋体" w:eastAsia="宋体" w:cs="宋体"/>
          <w:color w:val="auto"/>
          <w:sz w:val="32"/>
          <w:szCs w:val="32"/>
        </w:rPr>
      </w:pPr>
    </w:p>
    <w:p>
      <w:pPr>
        <w:spacing w:after="0" w:line="366" w:lineRule="exact"/>
        <w:ind w:left="840"/>
        <w:rPr>
          <w:rFonts w:ascii="宋体" w:hAnsi="宋体" w:eastAsia="宋体" w:cs="宋体"/>
          <w:color w:val="auto"/>
          <w:sz w:val="32"/>
          <w:szCs w:val="32"/>
        </w:rPr>
      </w:pPr>
      <w:r>
        <w:rPr>
          <w:rFonts w:ascii="宋体" w:hAnsi="宋体" w:eastAsia="宋体" w:cs="宋体"/>
          <w:color w:val="auto"/>
          <w:sz w:val="32"/>
          <w:szCs w:val="32"/>
        </w:rPr>
        <w:t>（四）上学年开题报告或博士生资格考试未通过者；</w:t>
      </w:r>
    </w:p>
    <w:p>
      <w:pPr>
        <w:spacing w:after="0" w:line="175" w:lineRule="exact"/>
        <w:rPr>
          <w:rFonts w:ascii="宋体" w:hAnsi="宋体" w:eastAsia="宋体" w:cs="宋体"/>
          <w:color w:val="auto"/>
          <w:sz w:val="32"/>
          <w:szCs w:val="32"/>
        </w:rPr>
      </w:pPr>
    </w:p>
    <w:p>
      <w:pPr>
        <w:spacing w:after="0" w:line="366" w:lineRule="exact"/>
        <w:ind w:left="840"/>
        <w:rPr>
          <w:rFonts w:ascii="宋体" w:hAnsi="宋体" w:eastAsia="宋体" w:cs="宋体"/>
          <w:color w:val="auto"/>
          <w:sz w:val="32"/>
          <w:szCs w:val="32"/>
        </w:rPr>
      </w:pPr>
      <w:r>
        <w:rPr>
          <w:rFonts w:ascii="宋体" w:hAnsi="宋体" w:eastAsia="宋体" w:cs="宋体"/>
          <w:color w:val="auto"/>
          <w:sz w:val="32"/>
          <w:szCs w:val="32"/>
        </w:rPr>
        <w:t>（五）本学年未按时注册者；</w:t>
      </w:r>
    </w:p>
    <w:p>
      <w:pPr>
        <w:spacing w:after="0" w:line="175" w:lineRule="exact"/>
        <w:rPr>
          <w:rFonts w:ascii="宋体" w:hAnsi="宋体" w:eastAsia="宋体" w:cs="宋体"/>
          <w:color w:val="auto"/>
          <w:sz w:val="32"/>
          <w:szCs w:val="32"/>
        </w:rPr>
      </w:pPr>
    </w:p>
    <w:p>
      <w:pPr>
        <w:spacing w:after="0" w:line="366" w:lineRule="exact"/>
        <w:ind w:left="840"/>
        <w:rPr>
          <w:rFonts w:ascii="宋体" w:hAnsi="宋体" w:eastAsia="宋体" w:cs="宋体"/>
          <w:color w:val="auto"/>
          <w:sz w:val="32"/>
          <w:szCs w:val="32"/>
        </w:rPr>
      </w:pPr>
      <w:r>
        <w:rPr>
          <w:rFonts w:ascii="宋体" w:hAnsi="宋体" w:eastAsia="宋体" w:cs="宋体"/>
          <w:color w:val="auto"/>
          <w:sz w:val="32"/>
          <w:szCs w:val="32"/>
        </w:rPr>
        <w:t>（六）参评学年学籍状态处于休学、保留学籍者；</w:t>
      </w:r>
    </w:p>
    <w:p>
      <w:pPr>
        <w:spacing w:after="0" w:line="221" w:lineRule="exact"/>
        <w:rPr>
          <w:rFonts w:ascii="宋体" w:hAnsi="宋体" w:eastAsia="宋体" w:cs="宋体"/>
          <w:color w:val="auto"/>
          <w:sz w:val="32"/>
          <w:szCs w:val="32"/>
        </w:rPr>
      </w:pPr>
    </w:p>
    <w:p>
      <w:pPr>
        <w:spacing w:after="0" w:line="429" w:lineRule="exact"/>
        <w:ind w:left="200" w:right="206" w:firstLine="641"/>
        <w:rPr>
          <w:rFonts w:ascii="宋体" w:hAnsi="宋体" w:eastAsia="宋体" w:cs="宋体"/>
          <w:color w:val="auto"/>
          <w:sz w:val="32"/>
          <w:szCs w:val="32"/>
        </w:rPr>
      </w:pPr>
      <w:r>
        <w:rPr>
          <w:rFonts w:ascii="宋体" w:hAnsi="宋体" w:eastAsia="宋体" w:cs="宋体"/>
          <w:color w:val="auto"/>
          <w:sz w:val="32"/>
          <w:szCs w:val="32"/>
        </w:rPr>
        <w:t>（七）上学年在科学研究和实验工作、临床实践中造成重大事故及损失者；</w:t>
      </w:r>
    </w:p>
    <w:p>
      <w:pPr>
        <w:spacing w:after="0" w:line="175" w:lineRule="exact"/>
        <w:rPr>
          <w:rFonts w:ascii="宋体" w:hAnsi="宋体" w:eastAsia="宋体" w:cs="宋体"/>
          <w:color w:val="auto"/>
          <w:sz w:val="32"/>
          <w:szCs w:val="32"/>
        </w:rPr>
      </w:pPr>
    </w:p>
    <w:p>
      <w:pPr>
        <w:spacing w:after="0" w:line="366" w:lineRule="exact"/>
        <w:ind w:left="840"/>
        <w:rPr>
          <w:rFonts w:ascii="宋体" w:hAnsi="宋体" w:eastAsia="宋体" w:cs="宋体"/>
          <w:color w:val="auto"/>
          <w:sz w:val="32"/>
          <w:szCs w:val="32"/>
        </w:rPr>
      </w:pPr>
      <w:r>
        <w:rPr>
          <w:rFonts w:ascii="宋体" w:hAnsi="宋体" w:eastAsia="宋体" w:cs="宋体"/>
          <w:color w:val="auto"/>
          <w:sz w:val="32"/>
          <w:szCs w:val="32"/>
        </w:rPr>
        <w:t>（八）上学年存在其他损害学校声誉的不当行为者；</w:t>
      </w:r>
    </w:p>
    <w:p>
      <w:pPr>
        <w:spacing w:after="0" w:line="175" w:lineRule="exact"/>
        <w:rPr>
          <w:rFonts w:ascii="宋体" w:hAnsi="宋体" w:eastAsia="宋体" w:cs="宋体"/>
          <w:color w:val="auto"/>
          <w:sz w:val="32"/>
          <w:szCs w:val="32"/>
        </w:rPr>
      </w:pPr>
    </w:p>
    <w:p>
      <w:pPr>
        <w:spacing w:after="0" w:line="366" w:lineRule="exact"/>
        <w:ind w:left="840"/>
        <w:rPr>
          <w:rFonts w:ascii="宋体" w:hAnsi="宋体" w:eastAsia="宋体" w:cs="宋体"/>
          <w:color w:val="auto"/>
          <w:sz w:val="32"/>
          <w:szCs w:val="32"/>
        </w:rPr>
      </w:pPr>
      <w:r>
        <w:rPr>
          <w:rFonts w:ascii="宋体" w:hAnsi="宋体" w:eastAsia="宋体" w:cs="宋体"/>
          <w:color w:val="auto"/>
          <w:sz w:val="32"/>
          <w:szCs w:val="32"/>
        </w:rPr>
        <w:t>（九）当年毕业的研究生。</w:t>
      </w:r>
    </w:p>
    <w:p>
      <w:pPr>
        <w:spacing w:after="0" w:line="221" w:lineRule="exact"/>
        <w:rPr>
          <w:rFonts w:ascii="宋体" w:hAnsi="宋体" w:eastAsia="宋体" w:cs="宋体"/>
          <w:color w:val="auto"/>
          <w:sz w:val="32"/>
          <w:szCs w:val="32"/>
        </w:rPr>
      </w:pPr>
    </w:p>
    <w:p>
      <w:pPr>
        <w:spacing w:after="0" w:line="429" w:lineRule="exact"/>
        <w:ind w:left="200" w:right="206" w:firstLine="641"/>
        <w:jc w:val="both"/>
        <w:rPr>
          <w:rFonts w:ascii="宋体" w:hAnsi="宋体" w:eastAsia="宋体" w:cs="宋体"/>
          <w:color w:val="auto"/>
          <w:sz w:val="32"/>
          <w:szCs w:val="32"/>
        </w:rPr>
      </w:pPr>
      <w:r>
        <w:rPr>
          <w:rFonts w:ascii="宋体" w:hAnsi="宋体" w:eastAsia="宋体" w:cs="宋体"/>
          <w:color w:val="auto"/>
          <w:sz w:val="32"/>
          <w:szCs w:val="32"/>
        </w:rPr>
        <w:t>第七条 研究生在基本学制年限内可多次获得研究生国家奖学金，但获奖成果不可重复申报使用。超出学制期限基本</w:t>
      </w:r>
    </w:p>
    <w:p>
      <w:pPr>
        <w:sectPr>
          <w:pgSz w:w="11900" w:h="16838"/>
          <w:pgMar w:top="1440" w:right="1440" w:bottom="463" w:left="1440" w:header="0" w:footer="0" w:gutter="0"/>
          <w:cols w:equalWidth="0" w:num="1">
            <w:col w:w="9026"/>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8" w:lineRule="exact"/>
        <w:rPr>
          <w:color w:val="auto"/>
          <w:sz w:val="20"/>
          <w:szCs w:val="20"/>
        </w:rPr>
      </w:pPr>
    </w:p>
    <w:p>
      <w:pPr>
        <w:spacing w:after="0" w:line="274" w:lineRule="exact"/>
        <w:ind w:left="200"/>
        <w:rPr>
          <w:color w:val="auto"/>
          <w:sz w:val="20"/>
          <w:szCs w:val="20"/>
        </w:rPr>
      </w:pPr>
      <w:r>
        <w:rPr>
          <w:rFonts w:ascii="宋体" w:hAnsi="宋体" w:eastAsia="宋体" w:cs="宋体"/>
          <w:color w:val="auto"/>
          <w:sz w:val="24"/>
          <w:szCs w:val="24"/>
        </w:rPr>
        <w:t>―4―</w:t>
      </w:r>
    </w:p>
    <w:p>
      <w:pPr>
        <w:sectPr>
          <w:type w:val="continuous"/>
          <w:pgSz w:w="11900" w:h="16838"/>
          <w:pgMar w:top="1440" w:right="1440" w:bottom="463" w:left="1440" w:header="0" w:footer="0" w:gutter="0"/>
          <w:cols w:equalWidth="0" w:num="1">
            <w:col w:w="9026"/>
          </w:cols>
        </w:sectPr>
      </w:pPr>
    </w:p>
    <w:p>
      <w:pPr>
        <w:spacing w:after="0" w:line="200" w:lineRule="exact"/>
        <w:rPr>
          <w:color w:val="auto"/>
          <w:sz w:val="20"/>
          <w:szCs w:val="20"/>
        </w:rPr>
      </w:pPr>
      <w:bookmarkStart w:id="4" w:name="page5"/>
      <w:bookmarkEnd w:id="4"/>
    </w:p>
    <w:p>
      <w:pPr>
        <w:spacing w:after="0" w:line="221" w:lineRule="exact"/>
        <w:rPr>
          <w:color w:val="auto"/>
          <w:sz w:val="20"/>
          <w:szCs w:val="20"/>
        </w:rPr>
      </w:pPr>
    </w:p>
    <w:p>
      <w:pPr>
        <w:spacing w:after="0" w:line="429" w:lineRule="exact"/>
        <w:ind w:left="200" w:right="206"/>
        <w:jc w:val="both"/>
        <w:rPr>
          <w:color w:val="auto"/>
          <w:sz w:val="20"/>
          <w:szCs w:val="20"/>
        </w:rPr>
      </w:pPr>
      <w:r>
        <w:rPr>
          <w:rFonts w:ascii="宋体" w:hAnsi="宋体" w:eastAsia="宋体" w:cs="宋体"/>
          <w:color w:val="auto"/>
          <w:sz w:val="32"/>
          <w:szCs w:val="32"/>
        </w:rPr>
        <w:t>修业年限的研究生，原则上不再具备研究生国家奖学金参评资格。</w:t>
      </w:r>
    </w:p>
    <w:p>
      <w:pPr>
        <w:spacing w:after="0" w:line="222" w:lineRule="exact"/>
        <w:rPr>
          <w:color w:val="auto"/>
          <w:sz w:val="20"/>
          <w:szCs w:val="20"/>
        </w:rPr>
      </w:pPr>
    </w:p>
    <w:p>
      <w:pPr>
        <w:spacing w:after="0" w:line="496" w:lineRule="exact"/>
        <w:ind w:left="200" w:right="206" w:firstLine="641"/>
        <w:jc w:val="both"/>
        <w:rPr>
          <w:color w:val="auto"/>
          <w:sz w:val="20"/>
          <w:szCs w:val="20"/>
        </w:rPr>
      </w:pPr>
      <w:r>
        <w:rPr>
          <w:rFonts w:ascii="宋体" w:hAnsi="宋体" w:eastAsia="宋体" w:cs="宋体"/>
          <w:color w:val="auto"/>
          <w:sz w:val="31"/>
          <w:szCs w:val="31"/>
        </w:rPr>
        <w:t>第八条 硕博连读研究生在注册为博士研究生之前，按照硕士研究生身份参与评定；注册为博士研究生后，按照博士研究生身份参与评定。直博生第一学年按照硕士研究生身份参与评定，第二至第五学年按照博士研究生身份参与评定。八年制学生第</w:t>
      </w:r>
      <w:r>
        <w:rPr>
          <w:rFonts w:ascii="Arial" w:hAnsi="Arial" w:eastAsia="Arial" w:cs="Arial"/>
          <w:color w:val="auto"/>
          <w:sz w:val="31"/>
          <w:szCs w:val="31"/>
        </w:rPr>
        <w:t xml:space="preserve"> 7 </w:t>
      </w:r>
      <w:r>
        <w:rPr>
          <w:rFonts w:ascii="宋体" w:hAnsi="宋体" w:eastAsia="宋体" w:cs="宋体"/>
          <w:color w:val="auto"/>
          <w:sz w:val="31"/>
          <w:szCs w:val="31"/>
        </w:rPr>
        <w:t>学年、第</w:t>
      </w:r>
      <w:r>
        <w:rPr>
          <w:rFonts w:ascii="Arial" w:hAnsi="Arial" w:eastAsia="Arial" w:cs="Arial"/>
          <w:color w:val="auto"/>
          <w:sz w:val="31"/>
          <w:szCs w:val="31"/>
        </w:rPr>
        <w:t xml:space="preserve"> 8 </w:t>
      </w:r>
      <w:r>
        <w:rPr>
          <w:rFonts w:ascii="宋体" w:hAnsi="宋体" w:eastAsia="宋体" w:cs="宋体"/>
          <w:color w:val="auto"/>
          <w:sz w:val="31"/>
          <w:szCs w:val="31"/>
        </w:rPr>
        <w:t>学年以博士研究生身份参与评定。</w:t>
      </w:r>
    </w:p>
    <w:p>
      <w:pPr>
        <w:spacing w:after="0" w:line="223" w:lineRule="exact"/>
        <w:rPr>
          <w:color w:val="auto"/>
          <w:sz w:val="20"/>
          <w:szCs w:val="20"/>
        </w:rPr>
      </w:pPr>
    </w:p>
    <w:p>
      <w:pPr>
        <w:spacing w:after="0" w:line="429" w:lineRule="exact"/>
        <w:ind w:left="200" w:right="346" w:firstLine="641"/>
        <w:rPr>
          <w:color w:val="auto"/>
          <w:sz w:val="20"/>
          <w:szCs w:val="20"/>
        </w:rPr>
      </w:pPr>
      <w:r>
        <w:rPr>
          <w:rFonts w:ascii="宋体" w:hAnsi="宋体" w:eastAsia="宋体" w:cs="宋体"/>
          <w:color w:val="auto"/>
          <w:sz w:val="32"/>
          <w:szCs w:val="32"/>
        </w:rPr>
        <w:t>第九条 在基本学制年限内，公派出国留学或校际交流在境外学习的研究生，仍具备研究生国家奖学金参评资格。</w:t>
      </w:r>
    </w:p>
    <w:p>
      <w:pPr>
        <w:spacing w:after="0" w:line="200" w:lineRule="exact"/>
        <w:rPr>
          <w:color w:val="auto"/>
          <w:sz w:val="20"/>
          <w:szCs w:val="20"/>
        </w:rPr>
      </w:pPr>
    </w:p>
    <w:p>
      <w:pPr>
        <w:spacing w:after="0" w:line="219" w:lineRule="exact"/>
        <w:rPr>
          <w:color w:val="auto"/>
          <w:sz w:val="20"/>
          <w:szCs w:val="20"/>
        </w:rPr>
      </w:pPr>
    </w:p>
    <w:p>
      <w:pPr>
        <w:spacing w:after="0" w:line="366" w:lineRule="exact"/>
        <w:ind w:right="6"/>
        <w:jc w:val="center"/>
        <w:rPr>
          <w:color w:val="auto"/>
          <w:sz w:val="20"/>
          <w:szCs w:val="20"/>
        </w:rPr>
      </w:pPr>
      <w:r>
        <w:rPr>
          <w:rFonts w:ascii="黑体" w:hAnsi="黑体" w:eastAsia="黑体" w:cs="黑体"/>
          <w:color w:val="auto"/>
          <w:sz w:val="32"/>
          <w:szCs w:val="32"/>
        </w:rPr>
        <w:t>第三章 指标分配</w:t>
      </w:r>
    </w:p>
    <w:p>
      <w:pPr>
        <w:spacing w:after="0" w:line="200" w:lineRule="exact"/>
        <w:rPr>
          <w:color w:val="auto"/>
          <w:sz w:val="20"/>
          <w:szCs w:val="20"/>
        </w:rPr>
      </w:pPr>
    </w:p>
    <w:p>
      <w:pPr>
        <w:spacing w:after="0" w:line="258" w:lineRule="exact"/>
        <w:rPr>
          <w:color w:val="auto"/>
          <w:sz w:val="20"/>
          <w:szCs w:val="20"/>
        </w:rPr>
      </w:pPr>
    </w:p>
    <w:p>
      <w:pPr>
        <w:spacing w:after="0" w:line="484" w:lineRule="exact"/>
        <w:ind w:left="200" w:right="206" w:firstLine="641"/>
        <w:jc w:val="both"/>
        <w:rPr>
          <w:color w:val="auto"/>
          <w:sz w:val="20"/>
          <w:szCs w:val="20"/>
        </w:rPr>
      </w:pPr>
      <w:r>
        <w:rPr>
          <w:rFonts w:ascii="宋体" w:hAnsi="宋体" w:eastAsia="宋体" w:cs="宋体"/>
          <w:color w:val="auto"/>
          <w:sz w:val="32"/>
          <w:szCs w:val="32"/>
        </w:rPr>
        <w:t>第十条 根据教育部下达指标，学校按基本学制年限内研究生规模、学年度研究生高水平学术成果产出、上学年二级单位评审情况等将推荐指标分配至各二级培养单位，并对一流建设学科予以适当倾斜。</w:t>
      </w:r>
    </w:p>
    <w:p>
      <w:pPr>
        <w:spacing w:after="0" w:line="156" w:lineRule="exact"/>
        <w:rPr>
          <w:color w:val="auto"/>
          <w:sz w:val="20"/>
          <w:szCs w:val="20"/>
        </w:rPr>
      </w:pPr>
    </w:p>
    <w:p>
      <w:pPr>
        <w:spacing w:after="0" w:line="388" w:lineRule="exact"/>
        <w:ind w:left="840"/>
        <w:rPr>
          <w:color w:val="auto"/>
          <w:sz w:val="20"/>
          <w:szCs w:val="20"/>
        </w:rPr>
      </w:pPr>
      <w:r>
        <w:rPr>
          <w:rFonts w:ascii="宋体" w:hAnsi="宋体" w:eastAsia="宋体" w:cs="宋体"/>
          <w:color w:val="auto"/>
          <w:sz w:val="32"/>
          <w:szCs w:val="32"/>
        </w:rPr>
        <w:t>学年度成果产出计算时间：上年</w:t>
      </w:r>
      <w:r>
        <w:rPr>
          <w:rFonts w:ascii="Arial" w:hAnsi="Arial" w:eastAsia="Arial" w:cs="Arial"/>
          <w:color w:val="auto"/>
          <w:sz w:val="32"/>
          <w:szCs w:val="32"/>
        </w:rPr>
        <w:t xml:space="preserve"> 9 </w:t>
      </w:r>
      <w:r>
        <w:rPr>
          <w:rFonts w:ascii="宋体" w:hAnsi="宋体" w:eastAsia="宋体" w:cs="宋体"/>
          <w:color w:val="auto"/>
          <w:sz w:val="32"/>
          <w:szCs w:val="32"/>
        </w:rPr>
        <w:t>月</w:t>
      </w:r>
      <w:r>
        <w:rPr>
          <w:rFonts w:ascii="Arial" w:hAnsi="Arial" w:eastAsia="Arial" w:cs="Arial"/>
          <w:color w:val="auto"/>
          <w:sz w:val="32"/>
          <w:szCs w:val="32"/>
        </w:rPr>
        <w:t xml:space="preserve"> 1 </w:t>
      </w:r>
      <w:r>
        <w:rPr>
          <w:rFonts w:ascii="宋体" w:hAnsi="宋体" w:eastAsia="宋体" w:cs="宋体"/>
          <w:color w:val="auto"/>
          <w:sz w:val="32"/>
          <w:szCs w:val="32"/>
        </w:rPr>
        <w:t>日到当年</w:t>
      </w:r>
      <w:r>
        <w:rPr>
          <w:rFonts w:ascii="Arial" w:hAnsi="Arial" w:eastAsia="Arial" w:cs="Arial"/>
          <w:color w:val="auto"/>
          <w:sz w:val="32"/>
          <w:szCs w:val="32"/>
        </w:rPr>
        <w:t xml:space="preserve"> 8 </w:t>
      </w:r>
      <w:r>
        <w:rPr>
          <w:rFonts w:ascii="宋体" w:hAnsi="宋体" w:eastAsia="宋体" w:cs="宋体"/>
          <w:color w:val="auto"/>
          <w:sz w:val="32"/>
          <w:szCs w:val="32"/>
        </w:rPr>
        <w:t>月</w:t>
      </w:r>
      <w:r>
        <w:rPr>
          <w:rFonts w:ascii="Arial" w:hAnsi="Arial" w:eastAsia="Arial" w:cs="Arial"/>
          <w:color w:val="auto"/>
          <w:sz w:val="32"/>
          <w:szCs w:val="32"/>
        </w:rPr>
        <w:t xml:space="preserve"> 31</w:t>
      </w:r>
    </w:p>
    <w:p>
      <w:pPr>
        <w:spacing w:after="0" w:line="175" w:lineRule="exact"/>
        <w:rPr>
          <w:color w:val="auto"/>
          <w:sz w:val="20"/>
          <w:szCs w:val="20"/>
        </w:rPr>
      </w:pPr>
    </w:p>
    <w:p>
      <w:pPr>
        <w:spacing w:after="0" w:line="366" w:lineRule="exact"/>
        <w:ind w:left="200"/>
        <w:rPr>
          <w:color w:val="auto"/>
          <w:sz w:val="20"/>
          <w:szCs w:val="20"/>
        </w:rPr>
      </w:pPr>
      <w:r>
        <w:rPr>
          <w:rFonts w:ascii="宋体" w:hAnsi="宋体" w:eastAsia="宋体" w:cs="宋体"/>
          <w:color w:val="auto"/>
          <w:sz w:val="32"/>
          <w:szCs w:val="32"/>
        </w:rPr>
        <w:t>日。</w:t>
      </w:r>
    </w:p>
    <w:p>
      <w:pPr>
        <w:spacing w:after="0" w:line="222" w:lineRule="exact"/>
        <w:rPr>
          <w:color w:val="auto"/>
          <w:sz w:val="20"/>
          <w:szCs w:val="20"/>
        </w:rPr>
      </w:pPr>
    </w:p>
    <w:p>
      <w:pPr>
        <w:spacing w:after="0" w:line="466" w:lineRule="exact"/>
        <w:ind w:left="200" w:right="186" w:firstLine="650"/>
        <w:jc w:val="both"/>
        <w:rPr>
          <w:color w:val="auto"/>
          <w:sz w:val="20"/>
          <w:szCs w:val="20"/>
        </w:rPr>
      </w:pPr>
      <w:r>
        <w:rPr>
          <w:rFonts w:ascii="宋体" w:hAnsi="宋体" w:eastAsia="宋体" w:cs="宋体"/>
          <w:color w:val="auto"/>
          <w:sz w:val="32"/>
          <w:szCs w:val="32"/>
        </w:rPr>
        <w:t>第十一条 各二级培养单位应结合本单位实际，将学校分配的国家奖学金指标按学术学位和专业学位以适当比例分配，并实施分类评选。</w:t>
      </w:r>
    </w:p>
    <w:p>
      <w:pPr>
        <w:spacing w:after="0" w:line="200" w:lineRule="exact"/>
        <w:rPr>
          <w:color w:val="auto"/>
          <w:sz w:val="20"/>
          <w:szCs w:val="20"/>
        </w:rPr>
      </w:pPr>
    </w:p>
    <w:p>
      <w:pPr>
        <w:spacing w:after="0" w:line="221" w:lineRule="exact"/>
        <w:rPr>
          <w:color w:val="auto"/>
          <w:sz w:val="20"/>
          <w:szCs w:val="20"/>
        </w:rPr>
      </w:pPr>
    </w:p>
    <w:p>
      <w:pPr>
        <w:spacing w:after="0" w:line="366" w:lineRule="exact"/>
        <w:ind w:left="3240"/>
        <w:rPr>
          <w:color w:val="auto"/>
          <w:sz w:val="20"/>
          <w:szCs w:val="20"/>
        </w:rPr>
      </w:pPr>
      <w:r>
        <w:rPr>
          <w:rFonts w:ascii="黑体" w:hAnsi="黑体" w:eastAsia="黑体" w:cs="黑体"/>
          <w:color w:val="auto"/>
          <w:sz w:val="32"/>
          <w:szCs w:val="32"/>
        </w:rPr>
        <w:t>第四章 评审程序</w:t>
      </w:r>
    </w:p>
    <w:p>
      <w:pPr>
        <w:spacing w:after="0" w:line="200" w:lineRule="exact"/>
        <w:rPr>
          <w:color w:val="auto"/>
          <w:sz w:val="20"/>
          <w:szCs w:val="20"/>
        </w:rPr>
      </w:pPr>
    </w:p>
    <w:p>
      <w:pPr>
        <w:spacing w:after="0" w:line="211" w:lineRule="exact"/>
        <w:rPr>
          <w:color w:val="auto"/>
          <w:sz w:val="20"/>
          <w:szCs w:val="20"/>
        </w:rPr>
      </w:pPr>
    </w:p>
    <w:p>
      <w:pPr>
        <w:spacing w:after="0" w:line="366" w:lineRule="exact"/>
        <w:ind w:left="840"/>
        <w:rPr>
          <w:color w:val="auto"/>
          <w:sz w:val="20"/>
          <w:szCs w:val="20"/>
        </w:rPr>
      </w:pPr>
      <w:r>
        <w:rPr>
          <w:rFonts w:ascii="宋体" w:hAnsi="宋体" w:eastAsia="宋体" w:cs="宋体"/>
          <w:color w:val="auto"/>
          <w:sz w:val="32"/>
          <w:szCs w:val="32"/>
        </w:rPr>
        <w:t>第十四条 评审程序</w:t>
      </w:r>
    </w:p>
    <w:p>
      <w:pPr>
        <w:spacing w:after="0" w:line="222" w:lineRule="exact"/>
        <w:rPr>
          <w:color w:val="auto"/>
          <w:sz w:val="20"/>
          <w:szCs w:val="20"/>
        </w:rPr>
      </w:pPr>
    </w:p>
    <w:p>
      <w:pPr>
        <w:spacing w:after="0" w:line="429" w:lineRule="exact"/>
        <w:ind w:left="200" w:right="206" w:firstLine="641"/>
        <w:rPr>
          <w:color w:val="auto"/>
          <w:sz w:val="20"/>
          <w:szCs w:val="20"/>
        </w:rPr>
      </w:pPr>
      <w:r>
        <w:rPr>
          <w:rFonts w:ascii="宋体" w:hAnsi="宋体" w:eastAsia="宋体" w:cs="宋体"/>
          <w:color w:val="auto"/>
          <w:sz w:val="32"/>
          <w:szCs w:val="32"/>
        </w:rPr>
        <w:t>（一）学校根据教育部、财政部评审要求，下发评审通知及推荐名额。</w:t>
      </w:r>
    </w:p>
    <w:p>
      <w:pPr>
        <w:sectPr>
          <w:pgSz w:w="11900" w:h="16838"/>
          <w:pgMar w:top="1440" w:right="1440" w:bottom="463" w:left="1440" w:header="0" w:footer="0" w:gutter="0"/>
          <w:cols w:equalWidth="0" w:num="1">
            <w:col w:w="9026"/>
          </w:cols>
        </w:sectPr>
      </w:pPr>
    </w:p>
    <w:p>
      <w:pPr>
        <w:spacing w:after="0" w:line="200" w:lineRule="exact"/>
        <w:rPr>
          <w:color w:val="auto"/>
          <w:sz w:val="20"/>
          <w:szCs w:val="20"/>
        </w:rPr>
      </w:pPr>
    </w:p>
    <w:p>
      <w:pPr>
        <w:spacing w:after="0" w:line="318" w:lineRule="exact"/>
        <w:rPr>
          <w:color w:val="auto"/>
          <w:sz w:val="20"/>
          <w:szCs w:val="20"/>
        </w:rPr>
      </w:pPr>
    </w:p>
    <w:p>
      <w:pPr>
        <w:spacing w:after="0" w:line="274" w:lineRule="exact"/>
        <w:ind w:left="8220"/>
        <w:rPr>
          <w:color w:val="auto"/>
          <w:sz w:val="20"/>
          <w:szCs w:val="20"/>
        </w:rPr>
      </w:pPr>
      <w:r>
        <w:rPr>
          <w:rFonts w:ascii="宋体" w:hAnsi="宋体" w:eastAsia="宋体" w:cs="宋体"/>
          <w:color w:val="auto"/>
          <w:sz w:val="24"/>
          <w:szCs w:val="24"/>
        </w:rPr>
        <w:t>―5―</w:t>
      </w:r>
    </w:p>
    <w:p>
      <w:pPr>
        <w:sectPr>
          <w:type w:val="continuous"/>
          <w:pgSz w:w="11900" w:h="16838"/>
          <w:pgMar w:top="1440" w:right="1440" w:bottom="463" w:left="1440" w:header="0" w:footer="0" w:gutter="0"/>
          <w:cols w:equalWidth="0" w:num="1">
            <w:col w:w="9026"/>
          </w:cols>
        </w:sectPr>
      </w:pPr>
    </w:p>
    <w:p>
      <w:pPr>
        <w:spacing w:after="0" w:line="200" w:lineRule="exact"/>
        <w:rPr>
          <w:color w:val="auto"/>
          <w:sz w:val="20"/>
          <w:szCs w:val="20"/>
        </w:rPr>
      </w:pPr>
      <w:bookmarkStart w:id="5" w:name="page6"/>
      <w:bookmarkEnd w:id="5"/>
    </w:p>
    <w:p>
      <w:pPr>
        <w:spacing w:after="0" w:line="221" w:lineRule="exact"/>
        <w:rPr>
          <w:color w:val="auto"/>
          <w:sz w:val="20"/>
          <w:szCs w:val="20"/>
        </w:rPr>
      </w:pPr>
    </w:p>
    <w:p>
      <w:pPr>
        <w:spacing w:after="0" w:line="466" w:lineRule="exact"/>
        <w:ind w:left="200" w:right="206" w:firstLine="641"/>
        <w:jc w:val="both"/>
        <w:rPr>
          <w:color w:val="auto"/>
          <w:sz w:val="20"/>
          <w:szCs w:val="20"/>
        </w:rPr>
      </w:pPr>
      <w:r>
        <w:rPr>
          <w:rFonts w:ascii="宋体" w:hAnsi="宋体" w:eastAsia="宋体" w:cs="宋体"/>
          <w:color w:val="auto"/>
          <w:sz w:val="32"/>
          <w:szCs w:val="32"/>
        </w:rPr>
        <w:t>（二）研究生在学校规定时间内向所在二级单位提交《研究生国家奖学金申请审批表》一式两份、相关证明材料的原件及复印件。</w:t>
      </w:r>
    </w:p>
    <w:p>
      <w:pPr>
        <w:spacing w:after="0" w:line="224" w:lineRule="exact"/>
        <w:rPr>
          <w:color w:val="auto"/>
          <w:sz w:val="20"/>
          <w:szCs w:val="20"/>
        </w:rPr>
      </w:pPr>
    </w:p>
    <w:p>
      <w:pPr>
        <w:spacing w:after="0" w:line="466" w:lineRule="exact"/>
        <w:ind w:left="200" w:right="206" w:firstLine="641"/>
        <w:jc w:val="both"/>
        <w:rPr>
          <w:color w:val="auto"/>
          <w:sz w:val="20"/>
          <w:szCs w:val="20"/>
        </w:rPr>
      </w:pPr>
      <w:r>
        <w:rPr>
          <w:rFonts w:ascii="宋体" w:hAnsi="宋体" w:eastAsia="宋体" w:cs="宋体"/>
          <w:color w:val="auto"/>
          <w:sz w:val="32"/>
          <w:szCs w:val="32"/>
        </w:rPr>
        <w:t>（三）二级单位公布符合参评条件的研究生国家奖学金汇总材料（含课程学习成绩、学术成果、参与社会实践、奖惩情况等）</w:t>
      </w:r>
    </w:p>
    <w:p>
      <w:pPr>
        <w:spacing w:after="0" w:line="224" w:lineRule="exact"/>
        <w:rPr>
          <w:color w:val="auto"/>
          <w:sz w:val="20"/>
          <w:szCs w:val="20"/>
        </w:rPr>
      </w:pPr>
    </w:p>
    <w:p>
      <w:pPr>
        <w:spacing w:after="0" w:line="466" w:lineRule="exact"/>
        <w:ind w:left="200" w:right="206" w:firstLine="641"/>
        <w:jc w:val="both"/>
        <w:rPr>
          <w:color w:val="auto"/>
          <w:sz w:val="20"/>
          <w:szCs w:val="20"/>
        </w:rPr>
      </w:pPr>
      <w:r>
        <w:rPr>
          <w:rFonts w:ascii="宋体" w:hAnsi="宋体" w:eastAsia="宋体" w:cs="宋体"/>
          <w:color w:val="auto"/>
          <w:sz w:val="32"/>
          <w:szCs w:val="32"/>
        </w:rPr>
        <w:t>（四）二级单位根据本单位研究生国家奖学金评定实施细则，对参评研究生的各项成果进行评定，并将综合评定明细情况在本单位进行公示，确定公开答辩研究生名单。</w:t>
      </w:r>
    </w:p>
    <w:p>
      <w:pPr>
        <w:spacing w:after="0" w:line="224" w:lineRule="exact"/>
        <w:rPr>
          <w:color w:val="auto"/>
          <w:sz w:val="20"/>
          <w:szCs w:val="20"/>
        </w:rPr>
      </w:pPr>
    </w:p>
    <w:p>
      <w:pPr>
        <w:spacing w:after="0" w:line="429" w:lineRule="exact"/>
        <w:ind w:left="200" w:right="206" w:firstLine="641"/>
        <w:jc w:val="both"/>
        <w:rPr>
          <w:color w:val="auto"/>
          <w:sz w:val="20"/>
          <w:szCs w:val="20"/>
        </w:rPr>
      </w:pPr>
      <w:r>
        <w:rPr>
          <w:rFonts w:ascii="宋体" w:hAnsi="宋体" w:eastAsia="宋体" w:cs="宋体"/>
          <w:color w:val="auto"/>
          <w:sz w:val="32"/>
          <w:szCs w:val="32"/>
        </w:rPr>
        <w:t>（五）二级单位奖学金评审委员会组织公开答辩，研究生院组织专人巡视答辩过程。</w:t>
      </w:r>
    </w:p>
    <w:p>
      <w:pPr>
        <w:spacing w:after="0" w:line="222" w:lineRule="exact"/>
        <w:rPr>
          <w:color w:val="auto"/>
          <w:sz w:val="20"/>
          <w:szCs w:val="20"/>
        </w:rPr>
      </w:pPr>
    </w:p>
    <w:p>
      <w:pPr>
        <w:spacing w:after="0" w:line="502" w:lineRule="exact"/>
        <w:ind w:left="200" w:right="206" w:firstLine="641"/>
        <w:jc w:val="both"/>
        <w:rPr>
          <w:color w:val="auto"/>
          <w:sz w:val="20"/>
          <w:szCs w:val="20"/>
        </w:rPr>
      </w:pPr>
      <w:r>
        <w:rPr>
          <w:rFonts w:ascii="宋体" w:hAnsi="宋体" w:eastAsia="宋体" w:cs="宋体"/>
          <w:color w:val="auto"/>
          <w:sz w:val="32"/>
          <w:szCs w:val="32"/>
        </w:rPr>
        <w:t>对当年新入学的研究生，重点考察研究生招生考试相关成绩及考核评价情况，兼顾其在本科（或硕士）阶段取得的突出成绩。对于已入学的学术学位研究生老生，偏重考察其科研创新能力和体现创新能力的学术成果；对于已入学的专业学位研究生老生，偏重考察其专业实践能力和适应专业岗位的综合素质。</w:t>
      </w:r>
    </w:p>
    <w:p>
      <w:pPr>
        <w:spacing w:after="0" w:line="229" w:lineRule="exact"/>
        <w:rPr>
          <w:color w:val="auto"/>
          <w:sz w:val="20"/>
          <w:szCs w:val="20"/>
        </w:rPr>
      </w:pPr>
    </w:p>
    <w:p>
      <w:pPr>
        <w:spacing w:after="0" w:line="484" w:lineRule="exact"/>
        <w:ind w:left="200" w:right="186" w:firstLine="641"/>
        <w:jc w:val="both"/>
        <w:rPr>
          <w:color w:val="auto"/>
          <w:sz w:val="20"/>
          <w:szCs w:val="20"/>
        </w:rPr>
      </w:pPr>
      <w:r>
        <w:rPr>
          <w:rFonts w:ascii="宋体" w:hAnsi="宋体" w:eastAsia="宋体" w:cs="宋体"/>
          <w:color w:val="auto"/>
          <w:sz w:val="31"/>
          <w:szCs w:val="31"/>
        </w:rPr>
        <w:t>（六）二级单位根据研究生思想政治表现、学习成绩、学术成果及社会实践工作等综合业绩和研究生答辩情况，择优等额推荐拟获研究生国家奖学金名单，在本单位公示</w:t>
      </w:r>
      <w:r>
        <w:rPr>
          <w:rFonts w:ascii="Arial" w:hAnsi="Arial" w:eastAsia="Arial" w:cs="Arial"/>
          <w:color w:val="auto"/>
          <w:sz w:val="31"/>
          <w:szCs w:val="31"/>
        </w:rPr>
        <w:t xml:space="preserve"> 5 </w:t>
      </w:r>
      <w:r>
        <w:rPr>
          <w:rFonts w:ascii="宋体" w:hAnsi="宋体" w:eastAsia="宋体" w:cs="宋体"/>
          <w:color w:val="auto"/>
          <w:sz w:val="31"/>
          <w:szCs w:val="31"/>
        </w:rPr>
        <w:t>个工作日无异议后，将拟推荐获奖名单报研究生院培养与管理办公室。</w:t>
      </w:r>
    </w:p>
    <w:p>
      <w:pPr>
        <w:spacing w:after="0" w:line="227" w:lineRule="exact"/>
        <w:rPr>
          <w:color w:val="auto"/>
          <w:sz w:val="20"/>
          <w:szCs w:val="20"/>
        </w:rPr>
      </w:pPr>
    </w:p>
    <w:p>
      <w:pPr>
        <w:spacing w:after="0" w:line="466" w:lineRule="exact"/>
        <w:ind w:left="200" w:right="206" w:firstLine="641"/>
        <w:jc w:val="both"/>
        <w:rPr>
          <w:color w:val="auto"/>
          <w:sz w:val="20"/>
          <w:szCs w:val="20"/>
        </w:rPr>
      </w:pPr>
      <w:r>
        <w:rPr>
          <w:rFonts w:ascii="宋体" w:hAnsi="宋体" w:eastAsia="宋体" w:cs="宋体"/>
          <w:color w:val="auto"/>
          <w:sz w:val="32"/>
          <w:szCs w:val="32"/>
        </w:rPr>
        <w:t>（七）学校奖学金评审领导小组对二级单位推荐对象进行审定，确定名单并在校内公示</w:t>
      </w:r>
      <w:r>
        <w:rPr>
          <w:rFonts w:ascii="Arial" w:hAnsi="Arial" w:eastAsia="Arial" w:cs="Arial"/>
          <w:color w:val="auto"/>
          <w:sz w:val="32"/>
          <w:szCs w:val="32"/>
        </w:rPr>
        <w:t xml:space="preserve"> 5 </w:t>
      </w:r>
      <w:r>
        <w:rPr>
          <w:rFonts w:ascii="宋体" w:hAnsi="宋体" w:eastAsia="宋体" w:cs="宋体"/>
          <w:color w:val="auto"/>
          <w:sz w:val="32"/>
          <w:szCs w:val="32"/>
        </w:rPr>
        <w:t>个工作日，无异议后，将审定结果上报教育部。</w:t>
      </w:r>
    </w:p>
    <w:p>
      <w:pPr>
        <w:sectPr>
          <w:pgSz w:w="11900" w:h="16838"/>
          <w:pgMar w:top="1440" w:right="1440" w:bottom="463" w:left="1440" w:header="0" w:footer="0" w:gutter="0"/>
          <w:cols w:equalWidth="0" w:num="1">
            <w:col w:w="9026"/>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9" w:lineRule="exact"/>
        <w:rPr>
          <w:color w:val="auto"/>
          <w:sz w:val="20"/>
          <w:szCs w:val="20"/>
        </w:rPr>
      </w:pPr>
    </w:p>
    <w:p>
      <w:pPr>
        <w:spacing w:after="0" w:line="274" w:lineRule="exact"/>
        <w:ind w:left="200"/>
        <w:rPr>
          <w:color w:val="auto"/>
          <w:sz w:val="20"/>
          <w:szCs w:val="20"/>
        </w:rPr>
      </w:pPr>
      <w:r>
        <w:rPr>
          <w:rFonts w:ascii="宋体" w:hAnsi="宋体" w:eastAsia="宋体" w:cs="宋体"/>
          <w:color w:val="auto"/>
          <w:sz w:val="24"/>
          <w:szCs w:val="24"/>
        </w:rPr>
        <w:t>―6―</w:t>
      </w:r>
    </w:p>
    <w:p>
      <w:pPr>
        <w:sectPr>
          <w:type w:val="continuous"/>
          <w:pgSz w:w="11900" w:h="16838"/>
          <w:pgMar w:top="1440" w:right="1440" w:bottom="463" w:left="1440" w:header="0" w:footer="0" w:gutter="0"/>
          <w:cols w:equalWidth="0" w:num="1">
            <w:col w:w="9026"/>
          </w:cols>
        </w:sectPr>
      </w:pPr>
    </w:p>
    <w:p>
      <w:pPr>
        <w:spacing w:after="0" w:line="200" w:lineRule="exact"/>
        <w:rPr>
          <w:color w:val="auto"/>
          <w:sz w:val="20"/>
          <w:szCs w:val="20"/>
        </w:rPr>
      </w:pPr>
      <w:bookmarkStart w:id="6" w:name="page7"/>
      <w:bookmarkEnd w:id="6"/>
    </w:p>
    <w:p>
      <w:pPr>
        <w:spacing w:after="0" w:line="221" w:lineRule="exact"/>
        <w:rPr>
          <w:color w:val="auto"/>
          <w:sz w:val="20"/>
          <w:szCs w:val="20"/>
        </w:rPr>
      </w:pPr>
    </w:p>
    <w:p>
      <w:pPr>
        <w:spacing w:after="0" w:line="484" w:lineRule="exact"/>
        <w:ind w:left="200" w:right="186" w:firstLine="641"/>
        <w:jc w:val="both"/>
        <w:rPr>
          <w:color w:val="auto"/>
          <w:sz w:val="20"/>
          <w:szCs w:val="20"/>
        </w:rPr>
      </w:pPr>
      <w:r>
        <w:rPr>
          <w:rFonts w:ascii="宋体" w:hAnsi="宋体" w:eastAsia="宋体" w:cs="宋体"/>
          <w:color w:val="auto"/>
          <w:sz w:val="32"/>
          <w:szCs w:val="32"/>
        </w:rPr>
        <w:t>第十五条 在二级单位公示阶段，对初评结果有异议的，向所在二级单位评审委员会提出异议，评审委员会应及时研究并予以答复。对反映问题属实的，二级单位应及时对公示内容进行更改说明。</w:t>
      </w:r>
    </w:p>
    <w:p>
      <w:pPr>
        <w:spacing w:after="0" w:line="225" w:lineRule="exact"/>
        <w:rPr>
          <w:color w:val="auto"/>
          <w:sz w:val="20"/>
          <w:szCs w:val="20"/>
        </w:rPr>
      </w:pPr>
    </w:p>
    <w:p>
      <w:pPr>
        <w:spacing w:after="0" w:line="466" w:lineRule="exact"/>
        <w:ind w:left="200" w:right="46" w:firstLine="641"/>
        <w:jc w:val="both"/>
        <w:rPr>
          <w:color w:val="auto"/>
          <w:sz w:val="20"/>
          <w:szCs w:val="20"/>
        </w:rPr>
      </w:pPr>
      <w:r>
        <w:rPr>
          <w:rFonts w:ascii="宋体" w:hAnsi="宋体" w:eastAsia="宋体" w:cs="宋体"/>
          <w:color w:val="auto"/>
          <w:sz w:val="31"/>
          <w:szCs w:val="31"/>
        </w:rPr>
        <w:t>如申诉人对二级单位作出的答复仍有异议，可在学校公示阶段向评审领导小组提请裁决。评审领导小组应及时研究并予以答复。对反映问题属实的，应及时对公示内容进行更改说明。</w:t>
      </w:r>
    </w:p>
    <w:p>
      <w:pPr>
        <w:spacing w:after="0" w:line="200" w:lineRule="exact"/>
        <w:rPr>
          <w:color w:val="auto"/>
          <w:sz w:val="20"/>
          <w:szCs w:val="20"/>
        </w:rPr>
      </w:pPr>
    </w:p>
    <w:p>
      <w:pPr>
        <w:spacing w:after="0" w:line="220" w:lineRule="exact"/>
        <w:rPr>
          <w:color w:val="auto"/>
          <w:sz w:val="20"/>
          <w:szCs w:val="20"/>
        </w:rPr>
      </w:pPr>
    </w:p>
    <w:p>
      <w:pPr>
        <w:spacing w:after="0" w:line="366" w:lineRule="exact"/>
        <w:ind w:right="6"/>
        <w:jc w:val="center"/>
        <w:rPr>
          <w:color w:val="auto"/>
          <w:sz w:val="20"/>
          <w:szCs w:val="20"/>
        </w:rPr>
      </w:pPr>
      <w:r>
        <w:rPr>
          <w:rFonts w:ascii="黑体" w:hAnsi="黑体" w:eastAsia="黑体" w:cs="黑体"/>
          <w:color w:val="auto"/>
          <w:sz w:val="32"/>
          <w:szCs w:val="32"/>
        </w:rPr>
        <w:t>第五章 奖学金发放与监督</w:t>
      </w:r>
    </w:p>
    <w:p>
      <w:pPr>
        <w:spacing w:after="0" w:line="200" w:lineRule="exact"/>
        <w:rPr>
          <w:color w:val="auto"/>
          <w:sz w:val="20"/>
          <w:szCs w:val="20"/>
        </w:rPr>
      </w:pPr>
    </w:p>
    <w:p>
      <w:pPr>
        <w:spacing w:after="0" w:line="258" w:lineRule="exact"/>
        <w:rPr>
          <w:color w:val="auto"/>
          <w:sz w:val="20"/>
          <w:szCs w:val="20"/>
        </w:rPr>
      </w:pPr>
    </w:p>
    <w:p>
      <w:pPr>
        <w:spacing w:after="0" w:line="466" w:lineRule="exact"/>
        <w:ind w:left="200" w:right="206" w:firstLine="641"/>
        <w:jc w:val="both"/>
        <w:rPr>
          <w:color w:val="auto"/>
          <w:sz w:val="20"/>
          <w:szCs w:val="20"/>
        </w:rPr>
      </w:pPr>
      <w:r>
        <w:rPr>
          <w:rFonts w:ascii="宋体" w:hAnsi="宋体" w:eastAsia="宋体" w:cs="宋体"/>
          <w:color w:val="auto"/>
          <w:sz w:val="32"/>
          <w:szCs w:val="32"/>
        </w:rPr>
        <w:t>第十六条 学校于每年</w:t>
      </w:r>
      <w:r>
        <w:rPr>
          <w:rFonts w:ascii="Arial" w:hAnsi="Arial" w:eastAsia="Arial" w:cs="Arial"/>
          <w:color w:val="auto"/>
          <w:sz w:val="32"/>
          <w:szCs w:val="32"/>
        </w:rPr>
        <w:t>11</w:t>
      </w:r>
      <w:r>
        <w:rPr>
          <w:rFonts w:ascii="宋体" w:hAnsi="宋体" w:eastAsia="宋体" w:cs="宋体"/>
          <w:color w:val="auto"/>
          <w:sz w:val="32"/>
          <w:szCs w:val="32"/>
        </w:rPr>
        <w:t>月</w:t>
      </w:r>
      <w:r>
        <w:rPr>
          <w:rFonts w:ascii="Arial" w:hAnsi="Arial" w:eastAsia="Arial" w:cs="Arial"/>
          <w:color w:val="auto"/>
          <w:sz w:val="32"/>
          <w:szCs w:val="32"/>
        </w:rPr>
        <w:t xml:space="preserve">30 </w:t>
      </w:r>
      <w:r>
        <w:rPr>
          <w:rFonts w:ascii="宋体" w:hAnsi="宋体" w:eastAsia="宋体" w:cs="宋体"/>
          <w:color w:val="auto"/>
          <w:sz w:val="32"/>
          <w:szCs w:val="32"/>
        </w:rPr>
        <w:t>日前将国家奖学金一次性发放给获奖研究生，颁发国家统一印制的奖励证书，并将《研究生国家奖学金申请审批表》存入研究生学籍档案。</w:t>
      </w:r>
    </w:p>
    <w:p>
      <w:pPr>
        <w:spacing w:after="0" w:line="223" w:lineRule="exact"/>
        <w:rPr>
          <w:color w:val="auto"/>
          <w:sz w:val="20"/>
          <w:szCs w:val="20"/>
        </w:rPr>
      </w:pPr>
    </w:p>
    <w:p>
      <w:pPr>
        <w:spacing w:after="0" w:line="466" w:lineRule="exact"/>
        <w:ind w:left="200" w:right="206" w:firstLine="641"/>
        <w:jc w:val="both"/>
        <w:rPr>
          <w:color w:val="auto"/>
          <w:sz w:val="20"/>
          <w:szCs w:val="20"/>
        </w:rPr>
      </w:pPr>
      <w:r>
        <w:rPr>
          <w:rFonts w:ascii="宋体" w:hAnsi="宋体" w:eastAsia="宋体" w:cs="宋体"/>
          <w:color w:val="auto"/>
          <w:sz w:val="32"/>
          <w:szCs w:val="32"/>
        </w:rPr>
        <w:t>第十七条 国家奖学金实行专款专用，任何单位不得截留、挤占、挪用，并接受财政、审计、纪检监察等部门的检查和监督。</w:t>
      </w:r>
    </w:p>
    <w:p>
      <w:pPr>
        <w:spacing w:after="0" w:line="200" w:lineRule="exact"/>
        <w:rPr>
          <w:color w:val="auto"/>
          <w:sz w:val="20"/>
          <w:szCs w:val="20"/>
        </w:rPr>
      </w:pPr>
    </w:p>
    <w:p>
      <w:pPr>
        <w:spacing w:after="0" w:line="221" w:lineRule="exact"/>
        <w:rPr>
          <w:color w:val="auto"/>
          <w:sz w:val="20"/>
          <w:szCs w:val="20"/>
        </w:rPr>
      </w:pPr>
    </w:p>
    <w:p>
      <w:pPr>
        <w:spacing w:after="0" w:line="366" w:lineRule="exact"/>
        <w:ind w:right="6"/>
        <w:jc w:val="center"/>
        <w:rPr>
          <w:color w:val="auto"/>
          <w:sz w:val="20"/>
          <w:szCs w:val="20"/>
        </w:rPr>
      </w:pPr>
      <w:r>
        <w:rPr>
          <w:rFonts w:ascii="黑体" w:hAnsi="黑体" w:eastAsia="黑体" w:cs="黑体"/>
          <w:color w:val="auto"/>
          <w:sz w:val="32"/>
          <w:szCs w:val="32"/>
        </w:rPr>
        <w:t>第六章 附 则</w:t>
      </w:r>
    </w:p>
    <w:p>
      <w:pPr>
        <w:spacing w:after="0" w:line="200" w:lineRule="exact"/>
        <w:rPr>
          <w:color w:val="auto"/>
          <w:sz w:val="20"/>
          <w:szCs w:val="20"/>
        </w:rPr>
      </w:pPr>
    </w:p>
    <w:p>
      <w:pPr>
        <w:spacing w:after="0" w:line="258" w:lineRule="exact"/>
        <w:rPr>
          <w:color w:val="auto"/>
          <w:sz w:val="20"/>
          <w:szCs w:val="20"/>
        </w:rPr>
      </w:pPr>
    </w:p>
    <w:p>
      <w:pPr>
        <w:spacing w:after="0" w:line="466" w:lineRule="exact"/>
        <w:ind w:left="200" w:right="206" w:firstLine="641"/>
        <w:jc w:val="both"/>
        <w:rPr>
          <w:color w:val="auto"/>
          <w:sz w:val="20"/>
          <w:szCs w:val="20"/>
        </w:rPr>
      </w:pPr>
      <w:r>
        <w:rPr>
          <w:rFonts w:ascii="宋体" w:hAnsi="宋体" w:eastAsia="宋体" w:cs="宋体"/>
          <w:color w:val="auto"/>
          <w:sz w:val="32"/>
          <w:szCs w:val="32"/>
        </w:rPr>
        <w:t>第十八条 获得研究生国家奖学金的研究生，同一学年可以同时获得研究生学业奖学金、研究生国家助学金、拔尖博士生校长奖学金，但不能兼得其它各类校级奖励金。</w:t>
      </w:r>
    </w:p>
    <w:p>
      <w:pPr>
        <w:spacing w:after="0" w:line="224" w:lineRule="exact"/>
        <w:rPr>
          <w:color w:val="auto"/>
          <w:sz w:val="20"/>
          <w:szCs w:val="20"/>
        </w:rPr>
      </w:pPr>
    </w:p>
    <w:p>
      <w:pPr>
        <w:spacing w:after="0" w:line="496" w:lineRule="exact"/>
        <w:ind w:left="200" w:right="206" w:firstLine="641"/>
        <w:jc w:val="both"/>
        <w:rPr>
          <w:color w:val="auto"/>
          <w:sz w:val="20"/>
          <w:szCs w:val="20"/>
        </w:rPr>
      </w:pPr>
      <w:r>
        <w:rPr>
          <w:rFonts w:ascii="宋体" w:hAnsi="宋体" w:eastAsia="宋体" w:cs="宋体"/>
          <w:color w:val="auto"/>
          <w:sz w:val="31"/>
          <w:szCs w:val="31"/>
        </w:rPr>
        <w:t>第十九条 各二级单位须在本办法规定的框架体系下结合本单位学科专业特点，制定研究生国家奖学金评定指标体系（含专业学位和学术学位）及实施细则，并报校评审领导小组审核备案。如遇本办法规定未涉及的其他情况，由各二级单位评审委员会报评审领导小组，由评审领导小组讨论后提出处理</w:t>
      </w:r>
    </w:p>
    <w:p>
      <w:pPr>
        <w:sectPr>
          <w:pgSz w:w="11900" w:h="16838"/>
          <w:pgMar w:top="1440" w:right="1440" w:bottom="463" w:left="1440" w:header="0" w:footer="0" w:gutter="0"/>
          <w:cols w:equalWidth="0" w:num="1">
            <w:col w:w="9026"/>
          </w:cols>
        </w:sectPr>
      </w:pPr>
    </w:p>
    <w:p>
      <w:pPr>
        <w:spacing w:after="0" w:line="200" w:lineRule="exact"/>
        <w:rPr>
          <w:color w:val="auto"/>
          <w:sz w:val="20"/>
          <w:szCs w:val="20"/>
        </w:rPr>
      </w:pPr>
    </w:p>
    <w:p>
      <w:pPr>
        <w:spacing w:after="0" w:line="321" w:lineRule="exact"/>
        <w:rPr>
          <w:color w:val="auto"/>
          <w:sz w:val="20"/>
          <w:szCs w:val="20"/>
        </w:rPr>
      </w:pPr>
    </w:p>
    <w:p>
      <w:pPr>
        <w:spacing w:after="0" w:line="274" w:lineRule="exact"/>
        <w:ind w:left="8220"/>
        <w:rPr>
          <w:color w:val="auto"/>
          <w:sz w:val="20"/>
          <w:szCs w:val="20"/>
        </w:rPr>
      </w:pPr>
      <w:r>
        <w:rPr>
          <w:rFonts w:ascii="宋体" w:hAnsi="宋体" w:eastAsia="宋体" w:cs="宋体"/>
          <w:color w:val="auto"/>
          <w:sz w:val="24"/>
          <w:szCs w:val="24"/>
        </w:rPr>
        <w:t>―7―</w:t>
      </w:r>
    </w:p>
    <w:p>
      <w:pPr>
        <w:sectPr>
          <w:type w:val="continuous"/>
          <w:pgSz w:w="11900" w:h="16838"/>
          <w:pgMar w:top="1440" w:right="1440" w:bottom="463" w:left="1440" w:header="0" w:footer="0" w:gutter="0"/>
          <w:cols w:equalWidth="0" w:num="1">
            <w:col w:w="9026"/>
          </w:cols>
        </w:sectPr>
      </w:pPr>
    </w:p>
    <w:p>
      <w:pPr>
        <w:spacing w:after="0" w:line="374" w:lineRule="exact"/>
        <w:rPr>
          <w:color w:val="auto"/>
          <w:sz w:val="20"/>
          <w:szCs w:val="20"/>
        </w:rPr>
      </w:pPr>
      <w:bookmarkStart w:id="7" w:name="page8"/>
      <w:bookmarkEnd w:id="7"/>
    </w:p>
    <w:p>
      <w:pPr>
        <w:spacing w:after="0" w:line="366" w:lineRule="exact"/>
        <w:ind w:left="200"/>
        <w:rPr>
          <w:color w:val="auto"/>
          <w:sz w:val="20"/>
          <w:szCs w:val="20"/>
        </w:rPr>
      </w:pPr>
      <w:r>
        <w:rPr>
          <w:rFonts w:ascii="宋体" w:hAnsi="宋体" w:eastAsia="宋体" w:cs="宋体"/>
          <w:color w:val="auto"/>
          <w:sz w:val="32"/>
          <w:szCs w:val="32"/>
        </w:rPr>
        <w:t>意见。</w:t>
      </w:r>
    </w:p>
    <w:p>
      <w:pPr>
        <w:spacing w:after="0" w:line="222" w:lineRule="exact"/>
        <w:rPr>
          <w:color w:val="auto"/>
          <w:sz w:val="20"/>
          <w:szCs w:val="20"/>
        </w:rPr>
      </w:pPr>
    </w:p>
    <w:p>
      <w:pPr>
        <w:spacing w:after="0" w:line="484" w:lineRule="exact"/>
        <w:ind w:left="200" w:right="206" w:firstLine="641"/>
        <w:jc w:val="both"/>
        <w:rPr>
          <w:color w:val="auto"/>
          <w:sz w:val="20"/>
          <w:szCs w:val="20"/>
        </w:rPr>
      </w:pPr>
      <w:r>
        <w:rPr>
          <w:rFonts w:ascii="宋体" w:hAnsi="宋体" w:eastAsia="宋体" w:cs="宋体"/>
          <w:color w:val="auto"/>
          <w:sz w:val="32"/>
          <w:szCs w:val="32"/>
        </w:rPr>
        <w:t>第二十条 二级单位在组织评审工作中，确因学生达不到评审基本条件而无法使用完分配名额的，应及时将未用完名额退回学校。评审领导小组授权研究生院培养与管理办公室根据各二级单位申报情况将此部分名额进行重新分配。</w:t>
      </w:r>
    </w:p>
    <w:p>
      <w:pPr>
        <w:spacing w:after="0" w:line="225" w:lineRule="exact"/>
        <w:rPr>
          <w:color w:val="auto"/>
          <w:sz w:val="20"/>
          <w:szCs w:val="20"/>
        </w:rPr>
      </w:pPr>
    </w:p>
    <w:p>
      <w:pPr>
        <w:spacing w:after="0" w:line="484" w:lineRule="exact"/>
        <w:ind w:left="200" w:right="206" w:firstLine="641"/>
        <w:jc w:val="both"/>
        <w:rPr>
          <w:color w:val="auto"/>
          <w:sz w:val="20"/>
          <w:szCs w:val="20"/>
        </w:rPr>
      </w:pPr>
      <w:r>
        <w:rPr>
          <w:rFonts w:ascii="宋体" w:hAnsi="宋体" w:eastAsia="宋体" w:cs="宋体"/>
          <w:color w:val="auto"/>
          <w:sz w:val="32"/>
          <w:szCs w:val="32"/>
        </w:rPr>
        <w:t>第二十一条 对二级单位上报的未达到评审基本条件的研究生，评审领导小组授权研究生院培养与管理办公室核实情况后将此部分名额进行重新分配，并削减下一年该单位对应指标数。</w:t>
      </w:r>
    </w:p>
    <w:p>
      <w:pPr>
        <w:spacing w:after="0" w:line="225" w:lineRule="exact"/>
        <w:rPr>
          <w:color w:val="auto"/>
          <w:sz w:val="20"/>
          <w:szCs w:val="20"/>
        </w:rPr>
      </w:pPr>
    </w:p>
    <w:p>
      <w:pPr>
        <w:spacing w:after="0" w:line="495" w:lineRule="exact"/>
        <w:ind w:left="200" w:right="46" w:firstLine="641"/>
        <w:jc w:val="both"/>
        <w:rPr>
          <w:color w:val="auto"/>
          <w:sz w:val="20"/>
          <w:szCs w:val="20"/>
        </w:rPr>
      </w:pPr>
      <w:r>
        <w:rPr>
          <w:rFonts w:ascii="宋体" w:hAnsi="宋体" w:eastAsia="宋体" w:cs="宋体"/>
          <w:color w:val="auto"/>
          <w:sz w:val="32"/>
          <w:szCs w:val="32"/>
        </w:rPr>
        <w:t>第二十二条 采取伪造手段获取研究生国家奖学金的，一经查实，取消其资格，收回已发国家奖学金和奖励证书，并按学校有关规定处理。相关工作人员在评审工作中出现违反本办法行为的，按《中南大学研究生教育教学事故认定与处理办法》（中大研字〔</w:t>
      </w:r>
      <w:r>
        <w:rPr>
          <w:rFonts w:ascii="Arial" w:hAnsi="Arial" w:eastAsia="Arial" w:cs="Arial"/>
          <w:color w:val="auto"/>
          <w:sz w:val="32"/>
          <w:szCs w:val="32"/>
        </w:rPr>
        <w:t>2017</w:t>
      </w:r>
      <w:r>
        <w:rPr>
          <w:rFonts w:ascii="宋体" w:hAnsi="宋体" w:eastAsia="宋体" w:cs="宋体"/>
          <w:color w:val="auto"/>
          <w:sz w:val="32"/>
          <w:szCs w:val="32"/>
        </w:rPr>
        <w:t>〕</w:t>
      </w:r>
      <w:r>
        <w:rPr>
          <w:rFonts w:ascii="Arial" w:hAnsi="Arial" w:eastAsia="Arial" w:cs="Arial"/>
          <w:color w:val="auto"/>
          <w:sz w:val="32"/>
          <w:szCs w:val="32"/>
        </w:rPr>
        <w:t xml:space="preserve">217 </w:t>
      </w:r>
      <w:r>
        <w:rPr>
          <w:rFonts w:ascii="宋体" w:hAnsi="宋体" w:eastAsia="宋体" w:cs="宋体"/>
          <w:color w:val="auto"/>
          <w:sz w:val="32"/>
          <w:szCs w:val="32"/>
        </w:rPr>
        <w:t>号）处理。</w:t>
      </w:r>
    </w:p>
    <w:p>
      <w:pPr>
        <w:spacing w:after="0" w:line="229" w:lineRule="exact"/>
        <w:rPr>
          <w:color w:val="auto"/>
          <w:sz w:val="20"/>
          <w:szCs w:val="20"/>
        </w:rPr>
      </w:pPr>
    </w:p>
    <w:p>
      <w:pPr>
        <w:spacing w:after="0" w:line="466" w:lineRule="exact"/>
        <w:ind w:left="200" w:right="206" w:firstLine="641"/>
        <w:jc w:val="both"/>
        <w:rPr>
          <w:color w:val="auto"/>
          <w:sz w:val="20"/>
          <w:szCs w:val="20"/>
        </w:rPr>
      </w:pPr>
      <w:r>
        <w:rPr>
          <w:rFonts w:ascii="宋体" w:hAnsi="宋体" w:eastAsia="宋体" w:cs="宋体"/>
          <w:color w:val="auto"/>
          <w:sz w:val="32"/>
          <w:szCs w:val="32"/>
        </w:rPr>
        <w:t>第二十三条 本办法自公布之日起施行，由研究生院负责解释。原《中南大学研究生国家奖学金评审办法》（中大研字〔</w:t>
      </w:r>
      <w:r>
        <w:rPr>
          <w:rFonts w:ascii="Arial" w:hAnsi="Arial" w:eastAsia="Arial" w:cs="Arial"/>
          <w:color w:val="auto"/>
          <w:sz w:val="32"/>
          <w:szCs w:val="32"/>
        </w:rPr>
        <w:t>2015</w:t>
      </w:r>
      <w:r>
        <w:rPr>
          <w:rFonts w:ascii="宋体" w:hAnsi="宋体" w:eastAsia="宋体" w:cs="宋体"/>
          <w:color w:val="auto"/>
          <w:sz w:val="32"/>
          <w:szCs w:val="32"/>
        </w:rPr>
        <w:t>〕</w:t>
      </w:r>
      <w:r>
        <w:rPr>
          <w:rFonts w:ascii="Arial" w:hAnsi="Arial" w:eastAsia="Arial" w:cs="Arial"/>
          <w:color w:val="auto"/>
          <w:sz w:val="32"/>
          <w:szCs w:val="32"/>
        </w:rPr>
        <w:t xml:space="preserve">11 </w:t>
      </w:r>
      <w:r>
        <w:rPr>
          <w:rFonts w:ascii="宋体" w:hAnsi="宋体" w:eastAsia="宋体" w:cs="宋体"/>
          <w:color w:val="auto"/>
          <w:sz w:val="32"/>
          <w:szCs w:val="32"/>
        </w:rPr>
        <w:t>号）同时废止。</w:t>
      </w:r>
    </w:p>
    <w:p>
      <w:pPr>
        <w:spacing w:after="0" w:line="142" w:lineRule="exact"/>
        <w:rPr>
          <w:color w:val="auto"/>
          <w:sz w:val="20"/>
          <w:szCs w:val="20"/>
        </w:rPr>
      </w:pPr>
    </w:p>
    <w:p>
      <w:pPr>
        <w:spacing w:after="0" w:line="366" w:lineRule="exact"/>
        <w:ind w:left="840"/>
        <w:rPr>
          <w:color w:val="auto"/>
          <w:sz w:val="20"/>
          <w:szCs w:val="20"/>
        </w:rPr>
      </w:pPr>
      <w:r>
        <w:rPr>
          <w:rFonts w:ascii="宋体" w:hAnsi="宋体" w:eastAsia="宋体" w:cs="宋体"/>
          <w:color w:val="auto"/>
          <w:sz w:val="32"/>
          <w:szCs w:val="32"/>
        </w:rPr>
        <w:t>附件：研究生国家奖学金申请审批表</w:t>
      </w:r>
    </w:p>
    <w:p>
      <w:pPr>
        <w:sectPr>
          <w:pgSz w:w="11900" w:h="16838"/>
          <w:pgMar w:top="1440" w:right="1440" w:bottom="463" w:left="1440" w:header="0" w:footer="0" w:gutter="0"/>
          <w:cols w:equalWidth="0" w:num="1">
            <w:col w:w="9026"/>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line="274" w:lineRule="exact"/>
        <w:ind w:left="200"/>
        <w:rPr>
          <w:color w:val="auto"/>
          <w:sz w:val="20"/>
          <w:szCs w:val="20"/>
        </w:rPr>
      </w:pPr>
      <w:r>
        <w:rPr>
          <w:rFonts w:ascii="宋体" w:hAnsi="宋体" w:eastAsia="宋体" w:cs="宋体"/>
          <w:color w:val="auto"/>
          <w:sz w:val="24"/>
          <w:szCs w:val="24"/>
        </w:rPr>
        <w:t>―8―</w:t>
      </w:r>
    </w:p>
    <w:p>
      <w:pPr>
        <w:sectPr>
          <w:type w:val="continuous"/>
          <w:pgSz w:w="11900" w:h="16838"/>
          <w:pgMar w:top="1440" w:right="1440" w:bottom="463" w:left="1440" w:header="0" w:footer="0" w:gutter="0"/>
          <w:cols w:equalWidth="0" w:num="1">
            <w:col w:w="9026"/>
          </w:cols>
        </w:sectPr>
      </w:pPr>
    </w:p>
    <w:p>
      <w:pPr>
        <w:spacing w:after="0" w:line="267" w:lineRule="exact"/>
        <w:rPr>
          <w:color w:val="auto"/>
          <w:sz w:val="20"/>
          <w:szCs w:val="20"/>
        </w:rPr>
      </w:pPr>
      <w:bookmarkStart w:id="8" w:name="page9"/>
      <w:bookmarkEnd w:id="8"/>
    </w:p>
    <w:p>
      <w:pPr>
        <w:spacing w:after="0" w:line="366" w:lineRule="exact"/>
        <w:ind w:left="500"/>
        <w:rPr>
          <w:color w:val="auto"/>
          <w:sz w:val="20"/>
          <w:szCs w:val="20"/>
        </w:rPr>
      </w:pPr>
      <w:r>
        <w:rPr>
          <w:rFonts w:ascii="黑体" w:hAnsi="黑体" w:eastAsia="黑体" w:cs="黑体"/>
          <w:color w:val="auto"/>
          <w:sz w:val="32"/>
          <w:szCs w:val="32"/>
        </w:rPr>
        <w:t>附件</w:t>
      </w:r>
    </w:p>
    <w:p>
      <w:pPr>
        <w:spacing w:after="0" w:line="107" w:lineRule="exact"/>
        <w:rPr>
          <w:color w:val="auto"/>
          <w:sz w:val="20"/>
          <w:szCs w:val="20"/>
        </w:rPr>
      </w:pPr>
    </w:p>
    <w:p>
      <w:pPr>
        <w:spacing w:after="0" w:line="411" w:lineRule="exact"/>
        <w:ind w:left="2480"/>
        <w:rPr>
          <w:color w:val="auto"/>
          <w:sz w:val="20"/>
          <w:szCs w:val="20"/>
        </w:rPr>
      </w:pPr>
      <w:r>
        <w:rPr>
          <w:rFonts w:ascii="宋体" w:hAnsi="宋体" w:eastAsia="宋体" w:cs="宋体"/>
          <w:color w:val="auto"/>
          <w:sz w:val="36"/>
          <w:szCs w:val="36"/>
        </w:rPr>
        <w:t>研究生国家奖学金申请审批表</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-3810</wp:posOffset>
            </wp:positionH>
            <wp:positionV relativeFrom="paragraph">
              <wp:posOffset>200660</wp:posOffset>
            </wp:positionV>
            <wp:extent cx="6312535" cy="7719060"/>
            <wp:effectExtent l="0" t="0" r="12065" b="152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srcRect/>
                    <a:stretch>
                      <a:fillRect/>
                    </a:stretch>
                  </pic:blipFill>
                  <pic:spPr>
                    <a:xfrm>
                      <a:off x="0" y="0"/>
                      <a:ext cx="6312535" cy="7719060"/>
                    </a:xfrm>
                    <a:prstGeom prst="rect">
                      <a:avLst/>
                    </a:prstGeom>
                    <a:noFill/>
                  </pic:spPr>
                </pic:pic>
              </a:graphicData>
            </a:graphic>
          </wp:anchor>
        </w:drawing>
      </w:r>
    </w:p>
    <w:p>
      <w:pPr>
        <w:spacing w:after="0" w:line="276" w:lineRule="exact"/>
        <w:rPr>
          <w:color w:val="auto"/>
          <w:sz w:val="20"/>
          <w:szCs w:val="20"/>
        </w:rPr>
      </w:pPr>
    </w:p>
    <w:tbl>
      <w:tblPr>
        <w:tblStyle w:val="3"/>
        <w:tblW w:w="10300" w:type="dxa"/>
        <w:tblInd w:w="0" w:type="dxa"/>
        <w:tblLayout w:type="fixed"/>
        <w:tblCellMar>
          <w:top w:w="0" w:type="dxa"/>
          <w:left w:w="0" w:type="dxa"/>
          <w:bottom w:w="0" w:type="dxa"/>
          <w:right w:w="0" w:type="dxa"/>
        </w:tblCellMar>
      </w:tblPr>
      <w:tblGrid>
        <w:gridCol w:w="820"/>
        <w:gridCol w:w="1280"/>
        <w:gridCol w:w="1260"/>
        <w:gridCol w:w="1260"/>
        <w:gridCol w:w="1540"/>
        <w:gridCol w:w="1260"/>
        <w:gridCol w:w="2520"/>
        <w:gridCol w:w="360"/>
      </w:tblGrid>
      <w:tr>
        <w:tblPrEx>
          <w:tblLayout w:type="fixed"/>
          <w:tblCellMar>
            <w:top w:w="0" w:type="dxa"/>
            <w:left w:w="0" w:type="dxa"/>
            <w:bottom w:w="0" w:type="dxa"/>
            <w:right w:w="0" w:type="dxa"/>
          </w:tblCellMar>
        </w:tblPrEx>
        <w:trPr>
          <w:trHeight w:val="440" w:hRule="atLeast"/>
        </w:trPr>
        <w:tc>
          <w:tcPr>
            <w:tcW w:w="820" w:type="dxa"/>
            <w:tcBorders>
              <w:top w:val="single" w:color="auto" w:sz="8" w:space="0"/>
            </w:tcBorders>
            <w:vAlign w:val="bottom"/>
          </w:tcPr>
          <w:p>
            <w:pPr>
              <w:spacing w:after="0"/>
              <w:rPr>
                <w:color w:val="auto"/>
                <w:sz w:val="24"/>
                <w:szCs w:val="24"/>
              </w:rPr>
            </w:pPr>
          </w:p>
        </w:tc>
        <w:tc>
          <w:tcPr>
            <w:tcW w:w="1280" w:type="dxa"/>
            <w:tcBorders>
              <w:top w:val="single" w:color="auto" w:sz="8" w:space="0"/>
              <w:right w:val="single" w:color="auto" w:sz="8" w:space="0"/>
            </w:tcBorders>
            <w:vAlign w:val="bottom"/>
          </w:tcPr>
          <w:p>
            <w:pPr>
              <w:spacing w:after="0" w:line="274" w:lineRule="exact"/>
              <w:jc w:val="center"/>
              <w:rPr>
                <w:color w:val="auto"/>
                <w:sz w:val="20"/>
                <w:szCs w:val="20"/>
              </w:rPr>
            </w:pPr>
            <w:r>
              <w:rPr>
                <w:rFonts w:ascii="仿宋" w:hAnsi="仿宋" w:eastAsia="仿宋" w:cs="仿宋"/>
                <w:color w:val="auto"/>
                <w:w w:val="99"/>
                <w:sz w:val="24"/>
                <w:szCs w:val="24"/>
              </w:rPr>
              <w:t>姓名</w:t>
            </w:r>
          </w:p>
        </w:tc>
        <w:tc>
          <w:tcPr>
            <w:tcW w:w="1260" w:type="dxa"/>
            <w:tcBorders>
              <w:top w:val="single" w:color="auto" w:sz="8" w:space="0"/>
              <w:right w:val="single" w:color="auto" w:sz="8" w:space="0"/>
            </w:tcBorders>
            <w:vAlign w:val="bottom"/>
          </w:tcPr>
          <w:p>
            <w:pPr>
              <w:spacing w:after="0"/>
              <w:rPr>
                <w:color w:val="auto"/>
                <w:sz w:val="24"/>
                <w:szCs w:val="24"/>
              </w:rPr>
            </w:pPr>
          </w:p>
        </w:tc>
        <w:tc>
          <w:tcPr>
            <w:tcW w:w="1260" w:type="dxa"/>
            <w:tcBorders>
              <w:top w:val="single" w:color="auto" w:sz="8" w:space="0"/>
              <w:right w:val="single" w:color="auto" w:sz="8" w:space="0"/>
            </w:tcBorders>
            <w:vAlign w:val="bottom"/>
          </w:tcPr>
          <w:p>
            <w:pPr>
              <w:spacing w:after="0" w:line="274" w:lineRule="exact"/>
              <w:jc w:val="center"/>
              <w:rPr>
                <w:color w:val="auto"/>
                <w:sz w:val="20"/>
                <w:szCs w:val="20"/>
              </w:rPr>
            </w:pPr>
            <w:r>
              <w:rPr>
                <w:rFonts w:ascii="仿宋" w:hAnsi="仿宋" w:eastAsia="仿宋" w:cs="仿宋"/>
                <w:color w:val="auto"/>
                <w:w w:val="99"/>
                <w:sz w:val="24"/>
                <w:szCs w:val="24"/>
              </w:rPr>
              <w:t>性别</w:t>
            </w:r>
          </w:p>
        </w:tc>
        <w:tc>
          <w:tcPr>
            <w:tcW w:w="1540" w:type="dxa"/>
            <w:tcBorders>
              <w:top w:val="single" w:color="auto" w:sz="8" w:space="0"/>
              <w:right w:val="single" w:color="auto" w:sz="8" w:space="0"/>
            </w:tcBorders>
            <w:vAlign w:val="bottom"/>
          </w:tcPr>
          <w:p>
            <w:pPr>
              <w:spacing w:after="0"/>
              <w:rPr>
                <w:color w:val="auto"/>
                <w:sz w:val="24"/>
                <w:szCs w:val="24"/>
              </w:rPr>
            </w:pPr>
          </w:p>
        </w:tc>
        <w:tc>
          <w:tcPr>
            <w:tcW w:w="1260" w:type="dxa"/>
            <w:tcBorders>
              <w:top w:val="single" w:color="auto" w:sz="8" w:space="0"/>
              <w:right w:val="single" w:color="auto" w:sz="8" w:space="0"/>
            </w:tcBorders>
            <w:vAlign w:val="bottom"/>
          </w:tcPr>
          <w:p>
            <w:pPr>
              <w:spacing w:after="0" w:line="274" w:lineRule="exact"/>
              <w:jc w:val="center"/>
              <w:rPr>
                <w:color w:val="auto"/>
                <w:sz w:val="20"/>
                <w:szCs w:val="20"/>
              </w:rPr>
            </w:pPr>
            <w:r>
              <w:rPr>
                <w:rFonts w:ascii="仿宋" w:hAnsi="仿宋" w:eastAsia="仿宋" w:cs="仿宋"/>
                <w:color w:val="auto"/>
                <w:w w:val="99"/>
                <w:sz w:val="24"/>
                <w:szCs w:val="24"/>
              </w:rPr>
              <w:t>出生年月</w:t>
            </w:r>
          </w:p>
        </w:tc>
        <w:tc>
          <w:tcPr>
            <w:tcW w:w="2520" w:type="dxa"/>
            <w:tcBorders>
              <w:top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3" w:hRule="atLeast"/>
        </w:trPr>
        <w:tc>
          <w:tcPr>
            <w:tcW w:w="820" w:type="dxa"/>
            <w:vAlign w:val="bottom"/>
          </w:tcPr>
          <w:p>
            <w:pPr>
              <w:spacing w:after="0"/>
              <w:rPr>
                <w:color w:val="auto"/>
                <w:sz w:val="15"/>
                <w:szCs w:val="15"/>
              </w:rPr>
            </w:pPr>
          </w:p>
        </w:tc>
        <w:tc>
          <w:tcPr>
            <w:tcW w:w="1280" w:type="dxa"/>
            <w:tcBorders>
              <w:bottom w:val="single" w:color="auto" w:sz="8" w:space="0"/>
              <w:right w:val="single" w:color="auto" w:sz="8" w:space="0"/>
            </w:tcBorders>
            <w:vAlign w:val="bottom"/>
          </w:tcPr>
          <w:p>
            <w:pPr>
              <w:spacing w:after="0"/>
              <w:rPr>
                <w:color w:val="auto"/>
                <w:sz w:val="15"/>
                <w:szCs w:val="15"/>
              </w:rPr>
            </w:pPr>
          </w:p>
        </w:tc>
        <w:tc>
          <w:tcPr>
            <w:tcW w:w="1260" w:type="dxa"/>
            <w:tcBorders>
              <w:bottom w:val="single" w:color="auto" w:sz="8" w:space="0"/>
              <w:right w:val="single" w:color="auto" w:sz="8" w:space="0"/>
            </w:tcBorders>
            <w:vAlign w:val="bottom"/>
          </w:tcPr>
          <w:p>
            <w:pPr>
              <w:spacing w:after="0"/>
              <w:rPr>
                <w:color w:val="auto"/>
                <w:sz w:val="15"/>
                <w:szCs w:val="15"/>
              </w:rPr>
            </w:pPr>
          </w:p>
        </w:tc>
        <w:tc>
          <w:tcPr>
            <w:tcW w:w="1260" w:type="dxa"/>
            <w:tcBorders>
              <w:bottom w:val="single" w:color="auto" w:sz="8" w:space="0"/>
              <w:right w:val="single" w:color="auto" w:sz="8" w:space="0"/>
            </w:tcBorders>
            <w:vAlign w:val="bottom"/>
          </w:tcPr>
          <w:p>
            <w:pPr>
              <w:spacing w:after="0"/>
              <w:rPr>
                <w:color w:val="auto"/>
                <w:sz w:val="15"/>
                <w:szCs w:val="15"/>
              </w:rPr>
            </w:pPr>
          </w:p>
        </w:tc>
        <w:tc>
          <w:tcPr>
            <w:tcW w:w="1540" w:type="dxa"/>
            <w:tcBorders>
              <w:bottom w:val="single" w:color="auto" w:sz="8" w:space="0"/>
              <w:right w:val="single" w:color="auto" w:sz="8" w:space="0"/>
            </w:tcBorders>
            <w:vAlign w:val="bottom"/>
          </w:tcPr>
          <w:p>
            <w:pPr>
              <w:spacing w:after="0"/>
              <w:rPr>
                <w:color w:val="auto"/>
                <w:sz w:val="15"/>
                <w:szCs w:val="15"/>
              </w:rPr>
            </w:pPr>
          </w:p>
        </w:tc>
        <w:tc>
          <w:tcPr>
            <w:tcW w:w="1260" w:type="dxa"/>
            <w:tcBorders>
              <w:bottom w:val="single" w:color="auto" w:sz="8" w:space="0"/>
              <w:right w:val="single" w:color="auto" w:sz="8" w:space="0"/>
            </w:tcBorders>
            <w:vAlign w:val="bottom"/>
          </w:tcPr>
          <w:p>
            <w:pPr>
              <w:spacing w:after="0"/>
              <w:rPr>
                <w:color w:val="auto"/>
                <w:sz w:val="15"/>
                <w:szCs w:val="15"/>
              </w:rPr>
            </w:pPr>
          </w:p>
        </w:tc>
        <w:tc>
          <w:tcPr>
            <w:tcW w:w="2520" w:type="dxa"/>
            <w:tcBorders>
              <w:bottom w:val="single" w:color="auto" w:sz="8" w:space="0"/>
            </w:tcBorders>
            <w:vAlign w:val="bottom"/>
          </w:tcPr>
          <w:p>
            <w:pPr>
              <w:spacing w:after="0"/>
              <w:rPr>
                <w:color w:val="auto"/>
                <w:sz w:val="15"/>
                <w:szCs w:val="1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1" w:hRule="atLeast"/>
        </w:trPr>
        <w:tc>
          <w:tcPr>
            <w:tcW w:w="820" w:type="dxa"/>
            <w:vAlign w:val="bottom"/>
          </w:tcPr>
          <w:p>
            <w:pPr>
              <w:spacing w:after="0"/>
              <w:rPr>
                <w:color w:val="auto"/>
                <w:sz w:val="24"/>
                <w:szCs w:val="24"/>
              </w:rPr>
            </w:pPr>
          </w:p>
        </w:tc>
        <w:tc>
          <w:tcPr>
            <w:tcW w:w="1280" w:type="dxa"/>
            <w:tcBorders>
              <w:right w:val="single" w:color="auto" w:sz="8" w:space="0"/>
            </w:tcBorders>
            <w:vAlign w:val="bottom"/>
          </w:tcPr>
          <w:p>
            <w:pPr>
              <w:spacing w:after="0" w:line="274" w:lineRule="exact"/>
              <w:jc w:val="center"/>
              <w:rPr>
                <w:color w:val="auto"/>
                <w:sz w:val="20"/>
                <w:szCs w:val="20"/>
              </w:rPr>
            </w:pPr>
            <w:r>
              <w:rPr>
                <w:rFonts w:ascii="仿宋" w:hAnsi="仿宋" w:eastAsia="仿宋" w:cs="仿宋"/>
                <w:color w:val="auto"/>
                <w:w w:val="99"/>
                <w:sz w:val="24"/>
                <w:szCs w:val="24"/>
              </w:rPr>
              <w:t>政治面貌</w:t>
            </w:r>
          </w:p>
        </w:tc>
        <w:tc>
          <w:tcPr>
            <w:tcW w:w="126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line="274" w:lineRule="exact"/>
              <w:jc w:val="center"/>
              <w:rPr>
                <w:color w:val="auto"/>
                <w:sz w:val="20"/>
                <w:szCs w:val="20"/>
              </w:rPr>
            </w:pPr>
            <w:r>
              <w:rPr>
                <w:rFonts w:ascii="仿宋" w:hAnsi="仿宋" w:eastAsia="仿宋" w:cs="仿宋"/>
                <w:color w:val="auto"/>
                <w:w w:val="99"/>
                <w:sz w:val="24"/>
                <w:szCs w:val="24"/>
              </w:rPr>
              <w:t>民族</w:t>
            </w:r>
          </w:p>
        </w:tc>
        <w:tc>
          <w:tcPr>
            <w:tcW w:w="154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line="274" w:lineRule="exact"/>
              <w:jc w:val="center"/>
              <w:rPr>
                <w:color w:val="auto"/>
                <w:sz w:val="20"/>
                <w:szCs w:val="20"/>
              </w:rPr>
            </w:pPr>
            <w:r>
              <w:rPr>
                <w:rFonts w:ascii="仿宋" w:hAnsi="仿宋" w:eastAsia="仿宋" w:cs="仿宋"/>
                <w:color w:val="auto"/>
                <w:w w:val="99"/>
                <w:sz w:val="24"/>
                <w:szCs w:val="24"/>
              </w:rPr>
              <w:t>入学日期</w:t>
            </w:r>
          </w:p>
        </w:tc>
        <w:tc>
          <w:tcPr>
            <w:tcW w:w="252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5" w:hRule="atLeast"/>
        </w:trPr>
        <w:tc>
          <w:tcPr>
            <w:tcW w:w="820" w:type="dxa"/>
            <w:vMerge w:val="restart"/>
            <w:vAlign w:val="bottom"/>
          </w:tcPr>
          <w:p>
            <w:pPr>
              <w:spacing w:after="0" w:line="274" w:lineRule="exact"/>
              <w:ind w:left="180"/>
              <w:rPr>
                <w:color w:val="auto"/>
                <w:sz w:val="20"/>
                <w:szCs w:val="20"/>
              </w:rPr>
            </w:pPr>
            <w:r>
              <w:rPr>
                <w:rFonts w:ascii="仿宋" w:hAnsi="仿宋" w:eastAsia="仿宋" w:cs="仿宋"/>
                <w:b/>
                <w:bCs/>
                <w:color w:val="auto"/>
                <w:sz w:val="24"/>
                <w:szCs w:val="24"/>
              </w:rPr>
              <w:t>基本</w:t>
            </w:r>
          </w:p>
        </w:tc>
        <w:tc>
          <w:tcPr>
            <w:tcW w:w="1280" w:type="dxa"/>
            <w:tcBorders>
              <w:bottom w:val="single" w:color="auto" w:sz="8" w:space="0"/>
              <w:right w:val="single" w:color="auto" w:sz="8" w:space="0"/>
            </w:tcBorders>
            <w:vAlign w:val="bottom"/>
          </w:tcPr>
          <w:p>
            <w:pPr>
              <w:spacing w:after="0"/>
              <w:rPr>
                <w:color w:val="auto"/>
                <w:sz w:val="16"/>
                <w:szCs w:val="16"/>
              </w:rPr>
            </w:pPr>
          </w:p>
        </w:tc>
        <w:tc>
          <w:tcPr>
            <w:tcW w:w="1260" w:type="dxa"/>
            <w:tcBorders>
              <w:bottom w:val="single" w:color="auto" w:sz="8" w:space="0"/>
              <w:right w:val="single" w:color="auto" w:sz="8" w:space="0"/>
            </w:tcBorders>
            <w:vAlign w:val="bottom"/>
          </w:tcPr>
          <w:p>
            <w:pPr>
              <w:spacing w:after="0"/>
              <w:rPr>
                <w:color w:val="auto"/>
                <w:sz w:val="16"/>
                <w:szCs w:val="16"/>
              </w:rPr>
            </w:pPr>
          </w:p>
        </w:tc>
        <w:tc>
          <w:tcPr>
            <w:tcW w:w="1260" w:type="dxa"/>
            <w:tcBorders>
              <w:bottom w:val="single" w:color="auto" w:sz="8" w:space="0"/>
              <w:right w:val="single" w:color="auto" w:sz="8" w:space="0"/>
            </w:tcBorders>
            <w:vAlign w:val="bottom"/>
          </w:tcPr>
          <w:p>
            <w:pPr>
              <w:spacing w:after="0"/>
              <w:rPr>
                <w:color w:val="auto"/>
                <w:sz w:val="16"/>
                <w:szCs w:val="16"/>
              </w:rPr>
            </w:pPr>
          </w:p>
        </w:tc>
        <w:tc>
          <w:tcPr>
            <w:tcW w:w="1540" w:type="dxa"/>
            <w:tcBorders>
              <w:bottom w:val="single" w:color="auto" w:sz="8" w:space="0"/>
              <w:right w:val="single" w:color="auto" w:sz="8" w:space="0"/>
            </w:tcBorders>
            <w:vAlign w:val="bottom"/>
          </w:tcPr>
          <w:p>
            <w:pPr>
              <w:spacing w:after="0"/>
              <w:rPr>
                <w:color w:val="auto"/>
                <w:sz w:val="16"/>
                <w:szCs w:val="16"/>
              </w:rPr>
            </w:pPr>
          </w:p>
        </w:tc>
        <w:tc>
          <w:tcPr>
            <w:tcW w:w="1260" w:type="dxa"/>
            <w:tcBorders>
              <w:bottom w:val="single" w:color="auto" w:sz="8" w:space="0"/>
              <w:right w:val="single" w:color="auto" w:sz="8" w:space="0"/>
            </w:tcBorders>
            <w:vAlign w:val="bottom"/>
          </w:tcPr>
          <w:p>
            <w:pPr>
              <w:spacing w:after="0"/>
              <w:rPr>
                <w:color w:val="auto"/>
                <w:sz w:val="16"/>
                <w:szCs w:val="16"/>
              </w:rPr>
            </w:pPr>
          </w:p>
        </w:tc>
        <w:tc>
          <w:tcPr>
            <w:tcW w:w="2520" w:type="dxa"/>
            <w:tcBorders>
              <w:bottom w:val="single" w:color="auto" w:sz="8" w:space="0"/>
            </w:tcBorders>
            <w:vAlign w:val="bottom"/>
          </w:tcPr>
          <w:p>
            <w:pPr>
              <w:spacing w:after="0"/>
              <w:rPr>
                <w:color w:val="auto"/>
                <w:sz w:val="16"/>
                <w:szCs w:val="1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0" w:hRule="atLeast"/>
        </w:trPr>
        <w:tc>
          <w:tcPr>
            <w:tcW w:w="820" w:type="dxa"/>
            <w:vMerge w:val="continue"/>
            <w:vAlign w:val="bottom"/>
          </w:tcPr>
          <w:p>
            <w:pPr>
              <w:spacing w:after="0"/>
              <w:rPr>
                <w:color w:val="auto"/>
                <w:sz w:val="23"/>
                <w:szCs w:val="23"/>
              </w:rPr>
            </w:pPr>
          </w:p>
        </w:tc>
        <w:tc>
          <w:tcPr>
            <w:tcW w:w="1280" w:type="dxa"/>
            <w:tcBorders>
              <w:right w:val="single" w:color="auto" w:sz="8" w:space="0"/>
            </w:tcBorders>
            <w:vAlign w:val="bottom"/>
          </w:tcPr>
          <w:p>
            <w:pPr>
              <w:spacing w:after="0" w:line="271" w:lineRule="exact"/>
              <w:jc w:val="center"/>
              <w:rPr>
                <w:color w:val="auto"/>
                <w:sz w:val="20"/>
                <w:szCs w:val="20"/>
              </w:rPr>
            </w:pPr>
            <w:r>
              <w:rPr>
                <w:rFonts w:ascii="仿宋" w:hAnsi="仿宋" w:eastAsia="仿宋" w:cs="仿宋"/>
                <w:color w:val="auto"/>
                <w:w w:val="99"/>
                <w:sz w:val="24"/>
                <w:szCs w:val="24"/>
              </w:rPr>
              <w:t>二级培养</w:t>
            </w:r>
          </w:p>
        </w:tc>
        <w:tc>
          <w:tcPr>
            <w:tcW w:w="1260" w:type="dxa"/>
            <w:tcBorders>
              <w:right w:val="single" w:color="auto" w:sz="8" w:space="0"/>
            </w:tcBorders>
            <w:vAlign w:val="bottom"/>
          </w:tcPr>
          <w:p>
            <w:pPr>
              <w:spacing w:after="0"/>
              <w:rPr>
                <w:color w:val="auto"/>
                <w:sz w:val="23"/>
                <w:szCs w:val="23"/>
              </w:rPr>
            </w:pPr>
          </w:p>
        </w:tc>
        <w:tc>
          <w:tcPr>
            <w:tcW w:w="1260" w:type="dxa"/>
            <w:vMerge w:val="restart"/>
            <w:tcBorders>
              <w:right w:val="single" w:color="auto" w:sz="8" w:space="0"/>
            </w:tcBorders>
            <w:vAlign w:val="bottom"/>
          </w:tcPr>
          <w:p>
            <w:pPr>
              <w:spacing w:after="0" w:line="274" w:lineRule="exact"/>
              <w:jc w:val="center"/>
              <w:rPr>
                <w:color w:val="auto"/>
                <w:sz w:val="20"/>
                <w:szCs w:val="20"/>
              </w:rPr>
            </w:pPr>
            <w:r>
              <w:rPr>
                <w:rFonts w:ascii="仿宋" w:hAnsi="仿宋" w:eastAsia="仿宋" w:cs="仿宋"/>
                <w:color w:val="auto"/>
                <w:w w:val="99"/>
                <w:sz w:val="24"/>
                <w:szCs w:val="24"/>
              </w:rPr>
              <w:t>专业</w:t>
            </w:r>
          </w:p>
        </w:tc>
        <w:tc>
          <w:tcPr>
            <w:tcW w:w="1540" w:type="dxa"/>
            <w:tcBorders>
              <w:right w:val="single" w:color="auto" w:sz="8" w:space="0"/>
            </w:tcBorders>
            <w:vAlign w:val="bottom"/>
          </w:tcPr>
          <w:p>
            <w:pPr>
              <w:spacing w:after="0"/>
              <w:rPr>
                <w:color w:val="auto"/>
                <w:sz w:val="23"/>
                <w:szCs w:val="23"/>
              </w:rPr>
            </w:pPr>
          </w:p>
        </w:tc>
        <w:tc>
          <w:tcPr>
            <w:tcW w:w="1260" w:type="dxa"/>
            <w:vMerge w:val="restart"/>
            <w:tcBorders>
              <w:right w:val="single" w:color="auto" w:sz="8" w:space="0"/>
            </w:tcBorders>
            <w:vAlign w:val="bottom"/>
          </w:tcPr>
          <w:p>
            <w:pPr>
              <w:spacing w:after="0" w:line="274" w:lineRule="exact"/>
              <w:jc w:val="center"/>
              <w:rPr>
                <w:color w:val="auto"/>
                <w:sz w:val="20"/>
                <w:szCs w:val="20"/>
              </w:rPr>
            </w:pPr>
            <w:r>
              <w:rPr>
                <w:rFonts w:ascii="仿宋" w:hAnsi="仿宋" w:eastAsia="仿宋" w:cs="仿宋"/>
                <w:color w:val="auto"/>
                <w:w w:val="99"/>
                <w:sz w:val="24"/>
                <w:szCs w:val="24"/>
              </w:rPr>
              <w:t>攻读学位</w:t>
            </w:r>
          </w:p>
        </w:tc>
        <w:tc>
          <w:tcPr>
            <w:tcW w:w="2520" w:type="dxa"/>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4" w:hRule="atLeast"/>
        </w:trPr>
        <w:tc>
          <w:tcPr>
            <w:tcW w:w="820" w:type="dxa"/>
            <w:vMerge w:val="restart"/>
            <w:vAlign w:val="bottom"/>
          </w:tcPr>
          <w:p>
            <w:pPr>
              <w:spacing w:after="0" w:line="274" w:lineRule="exact"/>
              <w:ind w:left="180"/>
              <w:rPr>
                <w:color w:val="auto"/>
                <w:sz w:val="20"/>
                <w:szCs w:val="20"/>
              </w:rPr>
            </w:pPr>
            <w:r>
              <w:rPr>
                <w:rFonts w:ascii="仿宋" w:hAnsi="仿宋" w:eastAsia="仿宋" w:cs="仿宋"/>
                <w:b/>
                <w:bCs/>
                <w:color w:val="auto"/>
                <w:sz w:val="24"/>
                <w:szCs w:val="24"/>
              </w:rPr>
              <w:t>情况</w:t>
            </w:r>
          </w:p>
        </w:tc>
        <w:tc>
          <w:tcPr>
            <w:tcW w:w="1280" w:type="dxa"/>
            <w:vMerge w:val="restart"/>
            <w:tcBorders>
              <w:right w:val="single" w:color="auto" w:sz="8" w:space="0"/>
            </w:tcBorders>
            <w:vAlign w:val="bottom"/>
          </w:tcPr>
          <w:p>
            <w:pPr>
              <w:spacing w:after="0" w:line="274" w:lineRule="exact"/>
              <w:jc w:val="center"/>
              <w:rPr>
                <w:color w:val="auto"/>
                <w:sz w:val="20"/>
                <w:szCs w:val="20"/>
              </w:rPr>
            </w:pPr>
            <w:r>
              <w:rPr>
                <w:rFonts w:ascii="仿宋" w:hAnsi="仿宋" w:eastAsia="仿宋" w:cs="仿宋"/>
                <w:color w:val="auto"/>
                <w:w w:val="99"/>
                <w:sz w:val="24"/>
                <w:szCs w:val="24"/>
              </w:rPr>
              <w:t>单位</w:t>
            </w:r>
          </w:p>
        </w:tc>
        <w:tc>
          <w:tcPr>
            <w:tcW w:w="1260" w:type="dxa"/>
            <w:tcBorders>
              <w:right w:val="single" w:color="auto" w:sz="8" w:space="0"/>
            </w:tcBorders>
            <w:vAlign w:val="bottom"/>
          </w:tcPr>
          <w:p>
            <w:pPr>
              <w:spacing w:after="0"/>
              <w:rPr>
                <w:color w:val="auto"/>
                <w:sz w:val="13"/>
                <w:szCs w:val="13"/>
              </w:rPr>
            </w:pPr>
          </w:p>
        </w:tc>
        <w:tc>
          <w:tcPr>
            <w:tcW w:w="1260" w:type="dxa"/>
            <w:vMerge w:val="continue"/>
            <w:tcBorders>
              <w:right w:val="single" w:color="auto" w:sz="8" w:space="0"/>
            </w:tcBorders>
            <w:vAlign w:val="bottom"/>
          </w:tcPr>
          <w:p>
            <w:pPr>
              <w:spacing w:after="0"/>
              <w:rPr>
                <w:color w:val="auto"/>
                <w:sz w:val="13"/>
                <w:szCs w:val="13"/>
              </w:rPr>
            </w:pPr>
          </w:p>
        </w:tc>
        <w:tc>
          <w:tcPr>
            <w:tcW w:w="1540" w:type="dxa"/>
            <w:tcBorders>
              <w:right w:val="single" w:color="auto" w:sz="8" w:space="0"/>
            </w:tcBorders>
            <w:vAlign w:val="bottom"/>
          </w:tcPr>
          <w:p>
            <w:pPr>
              <w:spacing w:after="0"/>
              <w:rPr>
                <w:color w:val="auto"/>
                <w:sz w:val="13"/>
                <w:szCs w:val="13"/>
              </w:rPr>
            </w:pPr>
          </w:p>
        </w:tc>
        <w:tc>
          <w:tcPr>
            <w:tcW w:w="1260" w:type="dxa"/>
            <w:vMerge w:val="continue"/>
            <w:tcBorders>
              <w:right w:val="single" w:color="auto" w:sz="8" w:space="0"/>
            </w:tcBorders>
            <w:vAlign w:val="bottom"/>
          </w:tcPr>
          <w:p>
            <w:pPr>
              <w:spacing w:after="0"/>
              <w:rPr>
                <w:color w:val="auto"/>
                <w:sz w:val="13"/>
                <w:szCs w:val="13"/>
              </w:rPr>
            </w:pPr>
          </w:p>
        </w:tc>
        <w:tc>
          <w:tcPr>
            <w:tcW w:w="2520" w:type="dxa"/>
            <w:vAlign w:val="bottom"/>
          </w:tcPr>
          <w:p>
            <w:pPr>
              <w:spacing w:after="0"/>
              <w:rPr>
                <w:color w:val="auto"/>
                <w:sz w:val="13"/>
                <w:szCs w:val="1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820" w:type="dxa"/>
            <w:vMerge w:val="continue"/>
            <w:vAlign w:val="bottom"/>
          </w:tcPr>
          <w:p>
            <w:pPr>
              <w:spacing w:after="0"/>
              <w:rPr>
                <w:color w:val="auto"/>
                <w:sz w:val="13"/>
                <w:szCs w:val="13"/>
              </w:rPr>
            </w:pPr>
          </w:p>
        </w:tc>
        <w:tc>
          <w:tcPr>
            <w:tcW w:w="1280" w:type="dxa"/>
            <w:vMerge w:val="continue"/>
            <w:tcBorders>
              <w:right w:val="single" w:color="auto" w:sz="8" w:space="0"/>
            </w:tcBorders>
            <w:vAlign w:val="bottom"/>
          </w:tcPr>
          <w:p>
            <w:pPr>
              <w:spacing w:after="0"/>
              <w:rPr>
                <w:color w:val="auto"/>
                <w:sz w:val="13"/>
                <w:szCs w:val="13"/>
              </w:rPr>
            </w:pPr>
          </w:p>
        </w:tc>
        <w:tc>
          <w:tcPr>
            <w:tcW w:w="1260" w:type="dxa"/>
            <w:tcBorders>
              <w:right w:val="single" w:color="auto" w:sz="8" w:space="0"/>
            </w:tcBorders>
            <w:vAlign w:val="bottom"/>
          </w:tcPr>
          <w:p>
            <w:pPr>
              <w:spacing w:after="0"/>
              <w:rPr>
                <w:color w:val="auto"/>
                <w:sz w:val="13"/>
                <w:szCs w:val="13"/>
              </w:rPr>
            </w:pPr>
          </w:p>
        </w:tc>
        <w:tc>
          <w:tcPr>
            <w:tcW w:w="1260" w:type="dxa"/>
            <w:tcBorders>
              <w:right w:val="single" w:color="auto" w:sz="8" w:space="0"/>
            </w:tcBorders>
            <w:vAlign w:val="bottom"/>
          </w:tcPr>
          <w:p>
            <w:pPr>
              <w:spacing w:after="0"/>
              <w:rPr>
                <w:color w:val="auto"/>
                <w:sz w:val="13"/>
                <w:szCs w:val="13"/>
              </w:rPr>
            </w:pPr>
          </w:p>
        </w:tc>
        <w:tc>
          <w:tcPr>
            <w:tcW w:w="1540" w:type="dxa"/>
            <w:tcBorders>
              <w:right w:val="single" w:color="auto" w:sz="8" w:space="0"/>
            </w:tcBorders>
            <w:vAlign w:val="bottom"/>
          </w:tcPr>
          <w:p>
            <w:pPr>
              <w:spacing w:after="0"/>
              <w:rPr>
                <w:color w:val="auto"/>
                <w:sz w:val="13"/>
                <w:szCs w:val="13"/>
              </w:rPr>
            </w:pPr>
          </w:p>
        </w:tc>
        <w:tc>
          <w:tcPr>
            <w:tcW w:w="1260" w:type="dxa"/>
            <w:tcBorders>
              <w:right w:val="single" w:color="auto" w:sz="8" w:space="0"/>
            </w:tcBorders>
            <w:vAlign w:val="bottom"/>
          </w:tcPr>
          <w:p>
            <w:pPr>
              <w:spacing w:after="0"/>
              <w:rPr>
                <w:color w:val="auto"/>
                <w:sz w:val="13"/>
                <w:szCs w:val="13"/>
              </w:rPr>
            </w:pPr>
          </w:p>
        </w:tc>
        <w:tc>
          <w:tcPr>
            <w:tcW w:w="2520" w:type="dxa"/>
            <w:vAlign w:val="bottom"/>
          </w:tcPr>
          <w:p>
            <w:pPr>
              <w:spacing w:after="0"/>
              <w:rPr>
                <w:color w:val="auto"/>
                <w:sz w:val="13"/>
                <w:szCs w:val="1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3" w:hRule="atLeast"/>
        </w:trPr>
        <w:tc>
          <w:tcPr>
            <w:tcW w:w="820" w:type="dxa"/>
            <w:vAlign w:val="bottom"/>
          </w:tcPr>
          <w:p>
            <w:pPr>
              <w:spacing w:after="0"/>
              <w:rPr>
                <w:color w:val="auto"/>
                <w:sz w:val="2"/>
                <w:szCs w:val="2"/>
              </w:rPr>
            </w:pPr>
          </w:p>
        </w:tc>
        <w:tc>
          <w:tcPr>
            <w:tcW w:w="1280" w:type="dxa"/>
            <w:tcBorders>
              <w:bottom w:val="single" w:color="auto" w:sz="8" w:space="0"/>
              <w:right w:val="single" w:color="auto" w:sz="8" w:space="0"/>
            </w:tcBorders>
            <w:vAlign w:val="bottom"/>
          </w:tcPr>
          <w:p>
            <w:pPr>
              <w:spacing w:after="0"/>
              <w:rPr>
                <w:color w:val="auto"/>
                <w:sz w:val="2"/>
                <w:szCs w:val="2"/>
              </w:rPr>
            </w:pPr>
          </w:p>
        </w:tc>
        <w:tc>
          <w:tcPr>
            <w:tcW w:w="1260" w:type="dxa"/>
            <w:tcBorders>
              <w:bottom w:val="single" w:color="auto" w:sz="8" w:space="0"/>
              <w:right w:val="single" w:color="auto" w:sz="8" w:space="0"/>
            </w:tcBorders>
            <w:vAlign w:val="bottom"/>
          </w:tcPr>
          <w:p>
            <w:pPr>
              <w:spacing w:after="0"/>
              <w:rPr>
                <w:color w:val="auto"/>
                <w:sz w:val="2"/>
                <w:szCs w:val="2"/>
              </w:rPr>
            </w:pPr>
          </w:p>
        </w:tc>
        <w:tc>
          <w:tcPr>
            <w:tcW w:w="1260" w:type="dxa"/>
            <w:tcBorders>
              <w:bottom w:val="single" w:color="auto" w:sz="8" w:space="0"/>
              <w:right w:val="single" w:color="auto" w:sz="8" w:space="0"/>
            </w:tcBorders>
            <w:vAlign w:val="bottom"/>
          </w:tcPr>
          <w:p>
            <w:pPr>
              <w:spacing w:after="0"/>
              <w:rPr>
                <w:color w:val="auto"/>
                <w:sz w:val="2"/>
                <w:szCs w:val="2"/>
              </w:rPr>
            </w:pPr>
          </w:p>
        </w:tc>
        <w:tc>
          <w:tcPr>
            <w:tcW w:w="1540" w:type="dxa"/>
            <w:tcBorders>
              <w:bottom w:val="single" w:color="auto" w:sz="8" w:space="0"/>
              <w:right w:val="single" w:color="auto" w:sz="8" w:space="0"/>
            </w:tcBorders>
            <w:vAlign w:val="bottom"/>
          </w:tcPr>
          <w:p>
            <w:pPr>
              <w:spacing w:after="0"/>
              <w:rPr>
                <w:color w:val="auto"/>
                <w:sz w:val="2"/>
                <w:szCs w:val="2"/>
              </w:rPr>
            </w:pPr>
          </w:p>
        </w:tc>
        <w:tc>
          <w:tcPr>
            <w:tcW w:w="1260" w:type="dxa"/>
            <w:tcBorders>
              <w:bottom w:val="single" w:color="auto" w:sz="8" w:space="0"/>
              <w:right w:val="single" w:color="auto" w:sz="8" w:space="0"/>
            </w:tcBorders>
            <w:vAlign w:val="bottom"/>
          </w:tcPr>
          <w:p>
            <w:pPr>
              <w:spacing w:after="0"/>
              <w:rPr>
                <w:color w:val="auto"/>
                <w:sz w:val="2"/>
                <w:szCs w:val="2"/>
              </w:rPr>
            </w:pPr>
          </w:p>
        </w:tc>
        <w:tc>
          <w:tcPr>
            <w:tcW w:w="2520" w:type="dxa"/>
            <w:tcBorders>
              <w:bottom w:val="single" w:color="auto" w:sz="8" w:space="0"/>
            </w:tcBorders>
            <w:vAlign w:val="bottom"/>
          </w:tcPr>
          <w:p>
            <w:pPr>
              <w:spacing w:after="0"/>
              <w:rPr>
                <w:color w:val="auto"/>
                <w:sz w:val="2"/>
                <w:szCs w:val="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9" w:hRule="atLeast"/>
        </w:trPr>
        <w:tc>
          <w:tcPr>
            <w:tcW w:w="820" w:type="dxa"/>
            <w:vAlign w:val="bottom"/>
          </w:tcPr>
          <w:p>
            <w:pPr>
              <w:spacing w:after="0"/>
              <w:rPr>
                <w:color w:val="auto"/>
                <w:sz w:val="23"/>
                <w:szCs w:val="23"/>
              </w:rPr>
            </w:pPr>
          </w:p>
        </w:tc>
        <w:tc>
          <w:tcPr>
            <w:tcW w:w="1280" w:type="dxa"/>
            <w:vMerge w:val="restart"/>
            <w:tcBorders>
              <w:right w:val="single" w:color="auto" w:sz="8" w:space="0"/>
            </w:tcBorders>
            <w:vAlign w:val="bottom"/>
          </w:tcPr>
          <w:p>
            <w:pPr>
              <w:spacing w:after="0" w:line="274" w:lineRule="exact"/>
              <w:jc w:val="center"/>
              <w:rPr>
                <w:color w:val="auto"/>
                <w:sz w:val="20"/>
                <w:szCs w:val="20"/>
              </w:rPr>
            </w:pPr>
            <w:r>
              <w:rPr>
                <w:rFonts w:ascii="仿宋" w:hAnsi="仿宋" w:eastAsia="仿宋" w:cs="仿宋"/>
                <w:color w:val="auto"/>
                <w:w w:val="99"/>
                <w:sz w:val="24"/>
                <w:szCs w:val="24"/>
              </w:rPr>
              <w:t>学制</w:t>
            </w:r>
          </w:p>
        </w:tc>
        <w:tc>
          <w:tcPr>
            <w:tcW w:w="1260" w:type="dxa"/>
            <w:tcBorders>
              <w:right w:val="single" w:color="auto" w:sz="8" w:space="0"/>
            </w:tcBorders>
            <w:vAlign w:val="bottom"/>
          </w:tcPr>
          <w:p>
            <w:pPr>
              <w:spacing w:after="0"/>
              <w:rPr>
                <w:color w:val="auto"/>
                <w:sz w:val="23"/>
                <w:szCs w:val="23"/>
              </w:rPr>
            </w:pPr>
          </w:p>
        </w:tc>
        <w:tc>
          <w:tcPr>
            <w:tcW w:w="1260" w:type="dxa"/>
            <w:vMerge w:val="restart"/>
            <w:tcBorders>
              <w:right w:val="single" w:color="auto" w:sz="8" w:space="0"/>
            </w:tcBorders>
            <w:vAlign w:val="bottom"/>
          </w:tcPr>
          <w:p>
            <w:pPr>
              <w:spacing w:after="0" w:line="274" w:lineRule="exact"/>
              <w:jc w:val="center"/>
              <w:rPr>
                <w:color w:val="auto"/>
                <w:sz w:val="20"/>
                <w:szCs w:val="20"/>
              </w:rPr>
            </w:pPr>
            <w:r>
              <w:rPr>
                <w:rFonts w:ascii="仿宋" w:hAnsi="仿宋" w:eastAsia="仿宋" w:cs="仿宋"/>
                <w:color w:val="auto"/>
                <w:w w:val="99"/>
                <w:sz w:val="24"/>
                <w:szCs w:val="24"/>
              </w:rPr>
              <w:t>学习阶段</w:t>
            </w:r>
          </w:p>
        </w:tc>
        <w:tc>
          <w:tcPr>
            <w:tcW w:w="1540" w:type="dxa"/>
            <w:tcBorders>
              <w:right w:val="single" w:color="auto" w:sz="8" w:space="0"/>
            </w:tcBorders>
            <w:vAlign w:val="bottom"/>
          </w:tcPr>
          <w:p>
            <w:pPr>
              <w:spacing w:after="0" w:line="269" w:lineRule="exact"/>
              <w:ind w:left="400"/>
              <w:rPr>
                <w:color w:val="auto"/>
                <w:sz w:val="20"/>
                <w:szCs w:val="20"/>
              </w:rPr>
            </w:pPr>
            <w:r>
              <w:rPr>
                <w:rFonts w:ascii="仿宋" w:hAnsi="仿宋" w:eastAsia="仿宋" w:cs="仿宋"/>
                <w:color w:val="auto"/>
                <w:sz w:val="24"/>
                <w:szCs w:val="24"/>
              </w:rPr>
              <w:t>□硕士</w:t>
            </w:r>
          </w:p>
        </w:tc>
        <w:tc>
          <w:tcPr>
            <w:tcW w:w="1260" w:type="dxa"/>
            <w:vMerge w:val="restart"/>
            <w:tcBorders>
              <w:right w:val="single" w:color="auto" w:sz="8" w:space="0"/>
            </w:tcBorders>
            <w:vAlign w:val="bottom"/>
          </w:tcPr>
          <w:p>
            <w:pPr>
              <w:spacing w:after="0" w:line="274" w:lineRule="exact"/>
              <w:jc w:val="center"/>
              <w:rPr>
                <w:color w:val="auto"/>
                <w:sz w:val="20"/>
                <w:szCs w:val="20"/>
              </w:rPr>
            </w:pPr>
            <w:r>
              <w:rPr>
                <w:rFonts w:ascii="仿宋" w:hAnsi="仿宋" w:eastAsia="仿宋" w:cs="仿宋"/>
                <w:color w:val="auto"/>
                <w:w w:val="99"/>
                <w:sz w:val="24"/>
                <w:szCs w:val="24"/>
              </w:rPr>
              <w:t>学号</w:t>
            </w:r>
          </w:p>
        </w:tc>
        <w:tc>
          <w:tcPr>
            <w:tcW w:w="2520" w:type="dxa"/>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 w:hRule="atLeast"/>
        </w:trPr>
        <w:tc>
          <w:tcPr>
            <w:tcW w:w="820" w:type="dxa"/>
            <w:vAlign w:val="bottom"/>
          </w:tcPr>
          <w:p>
            <w:pPr>
              <w:spacing w:after="0"/>
              <w:rPr>
                <w:color w:val="auto"/>
                <w:sz w:val="2"/>
                <w:szCs w:val="2"/>
              </w:rPr>
            </w:pPr>
          </w:p>
        </w:tc>
        <w:tc>
          <w:tcPr>
            <w:tcW w:w="1280" w:type="dxa"/>
            <w:vMerge w:val="continue"/>
            <w:tcBorders>
              <w:right w:val="single" w:color="auto" w:sz="8" w:space="0"/>
            </w:tcBorders>
            <w:vAlign w:val="bottom"/>
          </w:tcPr>
          <w:p>
            <w:pPr>
              <w:spacing w:after="0"/>
              <w:rPr>
                <w:color w:val="auto"/>
                <w:sz w:val="2"/>
                <w:szCs w:val="2"/>
              </w:rPr>
            </w:pPr>
          </w:p>
        </w:tc>
        <w:tc>
          <w:tcPr>
            <w:tcW w:w="1260" w:type="dxa"/>
            <w:vMerge w:val="restart"/>
            <w:tcBorders>
              <w:right w:val="single" w:color="auto" w:sz="8" w:space="0"/>
            </w:tcBorders>
            <w:vAlign w:val="bottom"/>
          </w:tcPr>
          <w:p>
            <w:pPr>
              <w:spacing w:after="0"/>
              <w:rPr>
                <w:color w:val="auto"/>
                <w:sz w:val="2"/>
                <w:szCs w:val="2"/>
              </w:rPr>
            </w:pPr>
          </w:p>
        </w:tc>
        <w:tc>
          <w:tcPr>
            <w:tcW w:w="1260" w:type="dxa"/>
            <w:vMerge w:val="continue"/>
            <w:tcBorders>
              <w:right w:val="single" w:color="auto" w:sz="8" w:space="0"/>
            </w:tcBorders>
            <w:vAlign w:val="bottom"/>
          </w:tcPr>
          <w:p>
            <w:pPr>
              <w:spacing w:after="0"/>
              <w:rPr>
                <w:color w:val="auto"/>
                <w:sz w:val="2"/>
                <w:szCs w:val="2"/>
              </w:rPr>
            </w:pPr>
          </w:p>
        </w:tc>
        <w:tc>
          <w:tcPr>
            <w:tcW w:w="1540" w:type="dxa"/>
            <w:tcBorders>
              <w:bottom w:val="single" w:color="auto" w:sz="8" w:space="0"/>
              <w:right w:val="single" w:color="auto" w:sz="8" w:space="0"/>
            </w:tcBorders>
            <w:vAlign w:val="bottom"/>
          </w:tcPr>
          <w:p>
            <w:pPr>
              <w:spacing w:after="0"/>
              <w:rPr>
                <w:color w:val="auto"/>
                <w:sz w:val="2"/>
                <w:szCs w:val="2"/>
              </w:rPr>
            </w:pPr>
          </w:p>
        </w:tc>
        <w:tc>
          <w:tcPr>
            <w:tcW w:w="1260" w:type="dxa"/>
            <w:vMerge w:val="continue"/>
            <w:tcBorders>
              <w:right w:val="single" w:color="auto" w:sz="8" w:space="0"/>
            </w:tcBorders>
            <w:vAlign w:val="bottom"/>
          </w:tcPr>
          <w:p>
            <w:pPr>
              <w:spacing w:after="0"/>
              <w:rPr>
                <w:color w:val="auto"/>
                <w:sz w:val="2"/>
                <w:szCs w:val="2"/>
              </w:rPr>
            </w:pPr>
          </w:p>
        </w:tc>
        <w:tc>
          <w:tcPr>
            <w:tcW w:w="2520" w:type="dxa"/>
            <w:vMerge w:val="restart"/>
            <w:vAlign w:val="bottom"/>
          </w:tcPr>
          <w:p>
            <w:pPr>
              <w:spacing w:after="0"/>
              <w:rPr>
                <w:color w:val="auto"/>
                <w:sz w:val="2"/>
                <w:szCs w:val="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96" w:hRule="atLeast"/>
        </w:trPr>
        <w:tc>
          <w:tcPr>
            <w:tcW w:w="820" w:type="dxa"/>
            <w:vAlign w:val="bottom"/>
          </w:tcPr>
          <w:p>
            <w:pPr>
              <w:spacing w:after="0"/>
              <w:rPr>
                <w:color w:val="auto"/>
                <w:sz w:val="8"/>
                <w:szCs w:val="8"/>
              </w:rPr>
            </w:pPr>
          </w:p>
        </w:tc>
        <w:tc>
          <w:tcPr>
            <w:tcW w:w="1280" w:type="dxa"/>
            <w:vMerge w:val="continue"/>
            <w:tcBorders>
              <w:right w:val="single" w:color="auto" w:sz="8" w:space="0"/>
            </w:tcBorders>
            <w:vAlign w:val="bottom"/>
          </w:tcPr>
          <w:p>
            <w:pPr>
              <w:spacing w:after="0"/>
              <w:rPr>
                <w:color w:val="auto"/>
                <w:sz w:val="8"/>
                <w:szCs w:val="8"/>
              </w:rPr>
            </w:pPr>
          </w:p>
        </w:tc>
        <w:tc>
          <w:tcPr>
            <w:tcW w:w="1260" w:type="dxa"/>
            <w:vMerge w:val="continue"/>
            <w:tcBorders>
              <w:right w:val="single" w:color="auto" w:sz="8" w:space="0"/>
            </w:tcBorders>
            <w:vAlign w:val="bottom"/>
          </w:tcPr>
          <w:p>
            <w:pPr>
              <w:spacing w:after="0"/>
              <w:rPr>
                <w:color w:val="auto"/>
                <w:sz w:val="8"/>
                <w:szCs w:val="8"/>
              </w:rPr>
            </w:pPr>
          </w:p>
        </w:tc>
        <w:tc>
          <w:tcPr>
            <w:tcW w:w="1260" w:type="dxa"/>
            <w:vMerge w:val="continue"/>
            <w:tcBorders>
              <w:right w:val="single" w:color="auto" w:sz="8" w:space="0"/>
            </w:tcBorders>
            <w:vAlign w:val="bottom"/>
          </w:tcPr>
          <w:p>
            <w:pPr>
              <w:spacing w:after="0"/>
              <w:rPr>
                <w:color w:val="auto"/>
                <w:sz w:val="8"/>
                <w:szCs w:val="8"/>
              </w:rPr>
            </w:pPr>
          </w:p>
        </w:tc>
        <w:tc>
          <w:tcPr>
            <w:tcW w:w="1540" w:type="dxa"/>
            <w:vMerge w:val="restart"/>
            <w:tcBorders>
              <w:right w:val="single" w:color="auto" w:sz="8" w:space="0"/>
            </w:tcBorders>
            <w:vAlign w:val="bottom"/>
          </w:tcPr>
          <w:p>
            <w:pPr>
              <w:spacing w:after="0" w:line="270" w:lineRule="exact"/>
              <w:ind w:left="400"/>
              <w:rPr>
                <w:color w:val="auto"/>
                <w:sz w:val="20"/>
                <w:szCs w:val="20"/>
              </w:rPr>
            </w:pPr>
            <w:r>
              <w:rPr>
                <w:rFonts w:ascii="仿宋" w:hAnsi="仿宋" w:eastAsia="仿宋" w:cs="仿宋"/>
                <w:color w:val="auto"/>
                <w:sz w:val="24"/>
                <w:szCs w:val="24"/>
              </w:rPr>
              <w:t>□博士</w:t>
            </w:r>
          </w:p>
        </w:tc>
        <w:tc>
          <w:tcPr>
            <w:tcW w:w="1260" w:type="dxa"/>
            <w:vMerge w:val="continue"/>
            <w:tcBorders>
              <w:right w:val="single" w:color="auto" w:sz="8" w:space="0"/>
            </w:tcBorders>
            <w:vAlign w:val="bottom"/>
          </w:tcPr>
          <w:p>
            <w:pPr>
              <w:spacing w:after="0"/>
              <w:rPr>
                <w:color w:val="auto"/>
                <w:sz w:val="8"/>
                <w:szCs w:val="8"/>
              </w:rPr>
            </w:pPr>
          </w:p>
        </w:tc>
        <w:tc>
          <w:tcPr>
            <w:tcW w:w="2520" w:type="dxa"/>
            <w:vMerge w:val="continue"/>
            <w:vAlign w:val="bottom"/>
          </w:tcPr>
          <w:p>
            <w:pPr>
              <w:spacing w:after="0"/>
              <w:rPr>
                <w:color w:val="auto"/>
                <w:sz w:val="8"/>
                <w:szCs w:val="8"/>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8" w:hRule="atLeast"/>
        </w:trPr>
        <w:tc>
          <w:tcPr>
            <w:tcW w:w="820" w:type="dxa"/>
            <w:vAlign w:val="bottom"/>
          </w:tcPr>
          <w:p>
            <w:pPr>
              <w:spacing w:after="0"/>
              <w:rPr>
                <w:color w:val="auto"/>
                <w:sz w:val="15"/>
                <w:szCs w:val="15"/>
              </w:rPr>
            </w:pPr>
          </w:p>
        </w:tc>
        <w:tc>
          <w:tcPr>
            <w:tcW w:w="1280" w:type="dxa"/>
            <w:tcBorders>
              <w:bottom w:val="single" w:color="auto" w:sz="8" w:space="0"/>
              <w:right w:val="single" w:color="auto" w:sz="8" w:space="0"/>
            </w:tcBorders>
            <w:vAlign w:val="bottom"/>
          </w:tcPr>
          <w:p>
            <w:pPr>
              <w:spacing w:after="0"/>
              <w:rPr>
                <w:color w:val="auto"/>
                <w:sz w:val="15"/>
                <w:szCs w:val="15"/>
              </w:rPr>
            </w:pPr>
          </w:p>
        </w:tc>
        <w:tc>
          <w:tcPr>
            <w:tcW w:w="1260" w:type="dxa"/>
            <w:tcBorders>
              <w:bottom w:val="single" w:color="auto" w:sz="8" w:space="0"/>
              <w:right w:val="single" w:color="auto" w:sz="8" w:space="0"/>
            </w:tcBorders>
            <w:vAlign w:val="bottom"/>
          </w:tcPr>
          <w:p>
            <w:pPr>
              <w:spacing w:after="0"/>
              <w:rPr>
                <w:color w:val="auto"/>
                <w:sz w:val="15"/>
                <w:szCs w:val="15"/>
              </w:rPr>
            </w:pPr>
          </w:p>
        </w:tc>
        <w:tc>
          <w:tcPr>
            <w:tcW w:w="1260" w:type="dxa"/>
            <w:tcBorders>
              <w:bottom w:val="single" w:color="auto" w:sz="8" w:space="0"/>
              <w:right w:val="single" w:color="auto" w:sz="8" w:space="0"/>
            </w:tcBorders>
            <w:vAlign w:val="bottom"/>
          </w:tcPr>
          <w:p>
            <w:pPr>
              <w:spacing w:after="0"/>
              <w:rPr>
                <w:color w:val="auto"/>
                <w:sz w:val="15"/>
                <w:szCs w:val="15"/>
              </w:rPr>
            </w:pPr>
          </w:p>
        </w:tc>
        <w:tc>
          <w:tcPr>
            <w:tcW w:w="1540" w:type="dxa"/>
            <w:vMerge w:val="continue"/>
            <w:tcBorders>
              <w:bottom w:val="single" w:color="auto" w:sz="8" w:space="0"/>
              <w:right w:val="single" w:color="auto" w:sz="8" w:space="0"/>
            </w:tcBorders>
            <w:vAlign w:val="bottom"/>
          </w:tcPr>
          <w:p>
            <w:pPr>
              <w:spacing w:after="0"/>
              <w:rPr>
                <w:color w:val="auto"/>
                <w:sz w:val="15"/>
                <w:szCs w:val="15"/>
              </w:rPr>
            </w:pPr>
          </w:p>
        </w:tc>
        <w:tc>
          <w:tcPr>
            <w:tcW w:w="1260" w:type="dxa"/>
            <w:tcBorders>
              <w:bottom w:val="single" w:color="auto" w:sz="8" w:space="0"/>
              <w:right w:val="single" w:color="auto" w:sz="8" w:space="0"/>
            </w:tcBorders>
            <w:vAlign w:val="bottom"/>
          </w:tcPr>
          <w:p>
            <w:pPr>
              <w:spacing w:after="0"/>
              <w:rPr>
                <w:color w:val="auto"/>
                <w:sz w:val="15"/>
                <w:szCs w:val="15"/>
              </w:rPr>
            </w:pPr>
          </w:p>
        </w:tc>
        <w:tc>
          <w:tcPr>
            <w:tcW w:w="2520" w:type="dxa"/>
            <w:tcBorders>
              <w:bottom w:val="single" w:color="auto" w:sz="8" w:space="0"/>
            </w:tcBorders>
            <w:vAlign w:val="bottom"/>
          </w:tcPr>
          <w:p>
            <w:pPr>
              <w:spacing w:after="0"/>
              <w:rPr>
                <w:color w:val="auto"/>
                <w:sz w:val="15"/>
                <w:szCs w:val="1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3" w:hRule="atLeast"/>
        </w:trPr>
        <w:tc>
          <w:tcPr>
            <w:tcW w:w="820" w:type="dxa"/>
            <w:vAlign w:val="bottom"/>
          </w:tcPr>
          <w:p>
            <w:pPr>
              <w:spacing w:after="0"/>
              <w:rPr>
                <w:color w:val="auto"/>
                <w:sz w:val="24"/>
                <w:szCs w:val="24"/>
              </w:rPr>
            </w:pPr>
          </w:p>
        </w:tc>
        <w:tc>
          <w:tcPr>
            <w:tcW w:w="1280" w:type="dxa"/>
            <w:tcBorders>
              <w:right w:val="single" w:color="auto" w:sz="8" w:space="0"/>
            </w:tcBorders>
            <w:vAlign w:val="bottom"/>
          </w:tcPr>
          <w:p>
            <w:pPr>
              <w:spacing w:after="0" w:line="274" w:lineRule="exact"/>
              <w:ind w:left="120"/>
              <w:rPr>
                <w:color w:val="auto"/>
                <w:sz w:val="20"/>
                <w:szCs w:val="20"/>
              </w:rPr>
            </w:pPr>
            <w:r>
              <w:rPr>
                <w:rFonts w:ascii="仿宋" w:hAnsi="仿宋" w:eastAsia="仿宋" w:cs="仿宋"/>
                <w:color w:val="auto"/>
                <w:sz w:val="24"/>
                <w:szCs w:val="24"/>
              </w:rPr>
              <w:t>身份证号</w:t>
            </w:r>
          </w:p>
        </w:tc>
        <w:tc>
          <w:tcPr>
            <w:tcW w:w="126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54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252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2" w:hRule="atLeast"/>
        </w:trPr>
        <w:tc>
          <w:tcPr>
            <w:tcW w:w="820" w:type="dxa"/>
            <w:tcBorders>
              <w:bottom w:val="single" w:color="auto" w:sz="8" w:space="0"/>
            </w:tcBorders>
            <w:vAlign w:val="bottom"/>
          </w:tcPr>
          <w:p>
            <w:pPr>
              <w:spacing w:after="0"/>
              <w:rPr>
                <w:color w:val="auto"/>
                <w:sz w:val="15"/>
                <w:szCs w:val="15"/>
              </w:rPr>
            </w:pPr>
          </w:p>
        </w:tc>
        <w:tc>
          <w:tcPr>
            <w:tcW w:w="1280" w:type="dxa"/>
            <w:tcBorders>
              <w:bottom w:val="single" w:color="auto" w:sz="8" w:space="0"/>
              <w:right w:val="single" w:color="auto" w:sz="8" w:space="0"/>
            </w:tcBorders>
            <w:vAlign w:val="bottom"/>
          </w:tcPr>
          <w:p>
            <w:pPr>
              <w:spacing w:after="0"/>
              <w:rPr>
                <w:color w:val="auto"/>
                <w:sz w:val="15"/>
                <w:szCs w:val="15"/>
              </w:rPr>
            </w:pPr>
          </w:p>
        </w:tc>
        <w:tc>
          <w:tcPr>
            <w:tcW w:w="1260" w:type="dxa"/>
            <w:tcBorders>
              <w:bottom w:val="single" w:color="auto" w:sz="8" w:space="0"/>
            </w:tcBorders>
            <w:vAlign w:val="bottom"/>
          </w:tcPr>
          <w:p>
            <w:pPr>
              <w:spacing w:after="0"/>
              <w:rPr>
                <w:color w:val="auto"/>
                <w:sz w:val="15"/>
                <w:szCs w:val="15"/>
              </w:rPr>
            </w:pPr>
          </w:p>
        </w:tc>
        <w:tc>
          <w:tcPr>
            <w:tcW w:w="1260" w:type="dxa"/>
            <w:tcBorders>
              <w:bottom w:val="single" w:color="auto" w:sz="8" w:space="0"/>
            </w:tcBorders>
            <w:vAlign w:val="bottom"/>
          </w:tcPr>
          <w:p>
            <w:pPr>
              <w:spacing w:after="0"/>
              <w:rPr>
                <w:color w:val="auto"/>
                <w:sz w:val="15"/>
                <w:szCs w:val="15"/>
              </w:rPr>
            </w:pPr>
          </w:p>
        </w:tc>
        <w:tc>
          <w:tcPr>
            <w:tcW w:w="1540" w:type="dxa"/>
            <w:tcBorders>
              <w:bottom w:val="single" w:color="auto" w:sz="8" w:space="0"/>
            </w:tcBorders>
            <w:vAlign w:val="bottom"/>
          </w:tcPr>
          <w:p>
            <w:pPr>
              <w:spacing w:after="0"/>
              <w:rPr>
                <w:color w:val="auto"/>
                <w:sz w:val="15"/>
                <w:szCs w:val="15"/>
              </w:rPr>
            </w:pPr>
          </w:p>
        </w:tc>
        <w:tc>
          <w:tcPr>
            <w:tcW w:w="1260" w:type="dxa"/>
            <w:tcBorders>
              <w:bottom w:val="single" w:color="auto" w:sz="8" w:space="0"/>
            </w:tcBorders>
            <w:vAlign w:val="bottom"/>
          </w:tcPr>
          <w:p>
            <w:pPr>
              <w:spacing w:after="0"/>
              <w:rPr>
                <w:color w:val="auto"/>
                <w:sz w:val="15"/>
                <w:szCs w:val="15"/>
              </w:rPr>
            </w:pPr>
          </w:p>
        </w:tc>
        <w:tc>
          <w:tcPr>
            <w:tcW w:w="2520" w:type="dxa"/>
            <w:tcBorders>
              <w:bottom w:val="single" w:color="auto" w:sz="8" w:space="0"/>
            </w:tcBorders>
            <w:vAlign w:val="bottom"/>
          </w:tcPr>
          <w:p>
            <w:pPr>
              <w:spacing w:after="0"/>
              <w:rPr>
                <w:color w:val="auto"/>
                <w:sz w:val="15"/>
                <w:szCs w:val="15"/>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7" w:lineRule="exact"/>
        <w:rPr>
          <w:color w:val="auto"/>
          <w:sz w:val="20"/>
          <w:szCs w:val="20"/>
        </w:rPr>
      </w:pPr>
    </w:p>
    <w:p>
      <w:pPr>
        <w:spacing w:after="0" w:line="274" w:lineRule="exact"/>
        <w:ind w:left="100"/>
        <w:rPr>
          <w:color w:val="auto"/>
          <w:sz w:val="20"/>
          <w:szCs w:val="20"/>
        </w:rPr>
      </w:pPr>
      <w:r>
        <w:rPr>
          <w:rFonts w:ascii="仿宋" w:hAnsi="仿宋" w:eastAsia="仿宋" w:cs="仿宋"/>
          <w:b/>
          <w:bCs/>
          <w:color w:val="auto"/>
          <w:sz w:val="24"/>
          <w:szCs w:val="24"/>
        </w:rPr>
        <w:t>申请</w:t>
      </w:r>
    </w:p>
    <w:p>
      <w:pPr>
        <w:spacing w:after="0" w:line="36" w:lineRule="exact"/>
        <w:rPr>
          <w:color w:val="auto"/>
          <w:sz w:val="20"/>
          <w:szCs w:val="20"/>
        </w:rPr>
      </w:pPr>
    </w:p>
    <w:p>
      <w:pPr>
        <w:spacing w:after="0" w:line="274" w:lineRule="exact"/>
        <w:ind w:left="100"/>
        <w:rPr>
          <w:color w:val="auto"/>
          <w:sz w:val="20"/>
          <w:szCs w:val="20"/>
        </w:rPr>
      </w:pPr>
      <w:r>
        <w:rPr>
          <w:rFonts w:ascii="仿宋" w:hAnsi="仿宋" w:eastAsia="仿宋" w:cs="仿宋"/>
          <w:b/>
          <w:bCs/>
          <w:color w:val="auto"/>
          <w:sz w:val="24"/>
          <w:szCs w:val="24"/>
        </w:rPr>
        <w:t>理由</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4" w:lineRule="exact"/>
        <w:rPr>
          <w:color w:val="auto"/>
          <w:sz w:val="20"/>
          <w:szCs w:val="20"/>
        </w:rPr>
      </w:pPr>
    </w:p>
    <w:p>
      <w:pPr>
        <w:spacing w:after="0" w:line="274" w:lineRule="exact"/>
        <w:ind w:left="6700"/>
        <w:rPr>
          <w:color w:val="auto"/>
          <w:sz w:val="20"/>
          <w:szCs w:val="20"/>
        </w:rPr>
      </w:pPr>
      <w:r>
        <w:rPr>
          <w:rFonts w:ascii="仿宋" w:hAnsi="仿宋" w:eastAsia="仿宋" w:cs="仿宋"/>
          <w:color w:val="auto"/>
          <w:sz w:val="24"/>
          <w:szCs w:val="24"/>
        </w:rPr>
        <w:t>申请人签名：</w:t>
      </w:r>
    </w:p>
    <w:p>
      <w:pPr>
        <w:spacing w:after="0" w:line="398" w:lineRule="exact"/>
        <w:rPr>
          <w:color w:val="auto"/>
          <w:sz w:val="20"/>
          <w:szCs w:val="20"/>
        </w:rPr>
      </w:pPr>
    </w:p>
    <w:p>
      <w:pPr>
        <w:tabs>
          <w:tab w:val="left" w:pos="8480"/>
          <w:tab w:val="left" w:pos="9320"/>
        </w:tabs>
        <w:spacing w:after="0" w:line="274" w:lineRule="exact"/>
        <w:ind w:left="7660"/>
        <w:rPr>
          <w:color w:val="auto"/>
          <w:sz w:val="20"/>
          <w:szCs w:val="20"/>
        </w:rPr>
      </w:pPr>
      <w:r>
        <w:rPr>
          <w:rFonts w:ascii="仿宋" w:hAnsi="仿宋" w:eastAsia="仿宋" w:cs="仿宋"/>
          <w:color w:val="auto"/>
          <w:sz w:val="24"/>
          <w:szCs w:val="24"/>
        </w:rPr>
        <w:t>年</w:t>
      </w:r>
      <w:r>
        <w:rPr>
          <w:rFonts w:ascii="仿宋" w:hAnsi="仿宋" w:eastAsia="仿宋" w:cs="仿宋"/>
          <w:color w:val="auto"/>
          <w:sz w:val="24"/>
          <w:szCs w:val="24"/>
        </w:rPr>
        <w:tab/>
      </w:r>
      <w:r>
        <w:rPr>
          <w:rFonts w:ascii="仿宋" w:hAnsi="仿宋" w:eastAsia="仿宋" w:cs="仿宋"/>
          <w:color w:val="auto"/>
          <w:sz w:val="24"/>
          <w:szCs w:val="24"/>
        </w:rPr>
        <w:t>月</w:t>
      </w:r>
      <w:r>
        <w:rPr>
          <w:rFonts w:ascii="仿宋" w:hAnsi="仿宋" w:eastAsia="仿宋" w:cs="仿宋"/>
          <w:color w:val="auto"/>
          <w:sz w:val="24"/>
          <w:szCs w:val="24"/>
        </w:rPr>
        <w:tab/>
      </w:r>
      <w:r>
        <w:rPr>
          <w:rFonts w:ascii="仿宋" w:hAnsi="仿宋" w:eastAsia="仿宋" w:cs="仿宋"/>
          <w:color w:val="auto"/>
          <w:sz w:val="24"/>
          <w:szCs w:val="24"/>
        </w:rPr>
        <w:t>日</w:t>
      </w:r>
    </w:p>
    <w:p>
      <w:pPr>
        <w:sectPr>
          <w:pgSz w:w="11900" w:h="16838"/>
          <w:pgMar w:top="1440" w:right="826" w:bottom="463" w:left="1140" w:header="0" w:footer="0" w:gutter="0"/>
          <w:cols w:equalWidth="0" w:num="1">
            <w:col w:w="994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7" w:lineRule="exact"/>
        <w:rPr>
          <w:color w:val="auto"/>
          <w:sz w:val="20"/>
          <w:szCs w:val="20"/>
        </w:rPr>
      </w:pPr>
    </w:p>
    <w:p>
      <w:pPr>
        <w:spacing w:after="0" w:line="274" w:lineRule="exact"/>
        <w:ind w:left="8520"/>
        <w:rPr>
          <w:color w:val="auto"/>
          <w:sz w:val="20"/>
          <w:szCs w:val="20"/>
        </w:rPr>
      </w:pPr>
      <w:r>
        <w:rPr>
          <w:rFonts w:ascii="宋体" w:hAnsi="宋体" w:eastAsia="宋体" w:cs="宋体"/>
          <w:color w:val="auto"/>
          <w:sz w:val="24"/>
          <w:szCs w:val="24"/>
        </w:rPr>
        <w:t>―9―</w:t>
      </w:r>
    </w:p>
    <w:p>
      <w:pPr>
        <w:sectPr>
          <w:type w:val="continuous"/>
          <w:pgSz w:w="11900" w:h="16838"/>
          <w:pgMar w:top="1440" w:right="826" w:bottom="463" w:left="1140" w:header="0" w:footer="0" w:gutter="0"/>
          <w:cols w:equalWidth="0" w:num="1">
            <w:col w:w="9940"/>
          </w:cols>
        </w:sectPr>
      </w:pPr>
    </w:p>
    <w:p>
      <w:pPr>
        <w:spacing w:after="0" w:line="241" w:lineRule="exact"/>
        <w:rPr>
          <w:color w:val="auto"/>
          <w:sz w:val="20"/>
          <w:szCs w:val="20"/>
        </w:rPr>
      </w:pPr>
      <w:bookmarkStart w:id="9" w:name="page10"/>
      <w:bookmarkEnd w:id="9"/>
    </w:p>
    <w:tbl>
      <w:tblPr>
        <w:tblStyle w:val="3"/>
        <w:tblW w:w="10340" w:type="dxa"/>
        <w:tblInd w:w="10" w:type="dxa"/>
        <w:tblLayout w:type="fixed"/>
        <w:tblCellMar>
          <w:top w:w="0" w:type="dxa"/>
          <w:left w:w="0" w:type="dxa"/>
          <w:bottom w:w="0" w:type="dxa"/>
          <w:right w:w="0" w:type="dxa"/>
        </w:tblCellMar>
      </w:tblPr>
      <w:tblGrid>
        <w:gridCol w:w="940"/>
        <w:gridCol w:w="3180"/>
        <w:gridCol w:w="240"/>
        <w:gridCol w:w="480"/>
        <w:gridCol w:w="240"/>
        <w:gridCol w:w="2100"/>
        <w:gridCol w:w="800"/>
        <w:gridCol w:w="940"/>
        <w:gridCol w:w="1060"/>
        <w:gridCol w:w="360"/>
      </w:tblGrid>
      <w:tr>
        <w:tblPrEx>
          <w:tblLayout w:type="fixed"/>
          <w:tblCellMar>
            <w:top w:w="0" w:type="dxa"/>
            <w:left w:w="0" w:type="dxa"/>
            <w:bottom w:w="0" w:type="dxa"/>
            <w:right w:w="0" w:type="dxa"/>
          </w:tblCellMar>
        </w:tblPrEx>
        <w:trPr>
          <w:trHeight w:val="829" w:hRule="atLeast"/>
        </w:trPr>
        <w:tc>
          <w:tcPr>
            <w:tcW w:w="940" w:type="dxa"/>
            <w:tcBorders>
              <w:top w:val="single" w:color="auto" w:sz="8" w:space="0"/>
              <w:left w:val="single" w:color="auto" w:sz="8" w:space="0"/>
              <w:right w:val="single" w:color="auto" w:sz="8" w:space="0"/>
            </w:tcBorders>
            <w:vAlign w:val="bottom"/>
          </w:tcPr>
          <w:p>
            <w:pPr>
              <w:spacing w:after="0" w:line="274" w:lineRule="exact"/>
              <w:jc w:val="center"/>
              <w:rPr>
                <w:color w:val="auto"/>
                <w:sz w:val="20"/>
                <w:szCs w:val="20"/>
              </w:rPr>
            </w:pPr>
            <w:r>
              <w:rPr>
                <w:rFonts w:ascii="仿宋" w:hAnsi="仿宋" w:eastAsia="仿宋" w:cs="仿宋"/>
                <w:b/>
                <w:bCs/>
                <w:color w:val="auto"/>
                <w:w w:val="99"/>
                <w:sz w:val="24"/>
                <w:szCs w:val="24"/>
              </w:rPr>
              <w:t>班级</w:t>
            </w:r>
          </w:p>
        </w:tc>
        <w:tc>
          <w:tcPr>
            <w:tcW w:w="3180" w:type="dxa"/>
            <w:tcBorders>
              <w:top w:val="single" w:color="auto" w:sz="8" w:space="0"/>
            </w:tcBorders>
            <w:vAlign w:val="bottom"/>
          </w:tcPr>
          <w:p>
            <w:pPr>
              <w:spacing w:after="0"/>
              <w:rPr>
                <w:color w:val="auto"/>
                <w:sz w:val="24"/>
                <w:szCs w:val="24"/>
              </w:rPr>
            </w:pPr>
          </w:p>
        </w:tc>
        <w:tc>
          <w:tcPr>
            <w:tcW w:w="240" w:type="dxa"/>
            <w:tcBorders>
              <w:top w:val="single" w:color="auto" w:sz="8" w:space="0"/>
            </w:tcBorders>
            <w:vAlign w:val="bottom"/>
          </w:tcPr>
          <w:p>
            <w:pPr>
              <w:spacing w:after="0"/>
              <w:rPr>
                <w:color w:val="auto"/>
                <w:sz w:val="24"/>
                <w:szCs w:val="24"/>
              </w:rPr>
            </w:pPr>
          </w:p>
        </w:tc>
        <w:tc>
          <w:tcPr>
            <w:tcW w:w="480" w:type="dxa"/>
            <w:tcBorders>
              <w:top w:val="single" w:color="auto" w:sz="8" w:space="0"/>
            </w:tcBorders>
            <w:vAlign w:val="bottom"/>
          </w:tcPr>
          <w:p>
            <w:pPr>
              <w:spacing w:after="0"/>
              <w:rPr>
                <w:color w:val="auto"/>
                <w:sz w:val="24"/>
                <w:szCs w:val="24"/>
              </w:rPr>
            </w:pPr>
          </w:p>
        </w:tc>
        <w:tc>
          <w:tcPr>
            <w:tcW w:w="240" w:type="dxa"/>
            <w:tcBorders>
              <w:top w:val="single" w:color="auto" w:sz="8" w:space="0"/>
            </w:tcBorders>
            <w:vAlign w:val="bottom"/>
          </w:tcPr>
          <w:p>
            <w:pPr>
              <w:spacing w:after="0"/>
              <w:rPr>
                <w:color w:val="auto"/>
                <w:sz w:val="24"/>
                <w:szCs w:val="24"/>
              </w:rPr>
            </w:pPr>
          </w:p>
        </w:tc>
        <w:tc>
          <w:tcPr>
            <w:tcW w:w="2100" w:type="dxa"/>
            <w:tcBorders>
              <w:top w:val="single" w:color="auto" w:sz="8" w:space="0"/>
            </w:tcBorders>
            <w:vAlign w:val="bottom"/>
          </w:tcPr>
          <w:p>
            <w:pPr>
              <w:spacing w:after="0"/>
              <w:rPr>
                <w:color w:val="auto"/>
                <w:sz w:val="24"/>
                <w:szCs w:val="24"/>
              </w:rPr>
            </w:pPr>
          </w:p>
        </w:tc>
        <w:tc>
          <w:tcPr>
            <w:tcW w:w="800" w:type="dxa"/>
            <w:tcBorders>
              <w:top w:val="single" w:color="auto" w:sz="8" w:space="0"/>
            </w:tcBorders>
            <w:vAlign w:val="bottom"/>
          </w:tcPr>
          <w:p>
            <w:pPr>
              <w:spacing w:after="0"/>
              <w:rPr>
                <w:color w:val="auto"/>
                <w:sz w:val="24"/>
                <w:szCs w:val="24"/>
              </w:rPr>
            </w:pPr>
          </w:p>
        </w:tc>
        <w:tc>
          <w:tcPr>
            <w:tcW w:w="940" w:type="dxa"/>
            <w:tcBorders>
              <w:top w:val="single" w:color="auto" w:sz="8" w:space="0"/>
            </w:tcBorders>
            <w:vAlign w:val="bottom"/>
          </w:tcPr>
          <w:p>
            <w:pPr>
              <w:spacing w:after="0"/>
              <w:rPr>
                <w:color w:val="auto"/>
                <w:sz w:val="24"/>
                <w:szCs w:val="24"/>
              </w:rPr>
            </w:pPr>
          </w:p>
        </w:tc>
        <w:tc>
          <w:tcPr>
            <w:tcW w:w="1060" w:type="dxa"/>
            <w:tcBorders>
              <w:top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2" w:hRule="atLeast"/>
        </w:trPr>
        <w:tc>
          <w:tcPr>
            <w:tcW w:w="940" w:type="dxa"/>
            <w:tcBorders>
              <w:left w:val="single" w:color="auto" w:sz="8" w:space="0"/>
              <w:right w:val="single" w:color="auto" w:sz="8" w:space="0"/>
            </w:tcBorders>
            <w:vAlign w:val="bottom"/>
          </w:tcPr>
          <w:p>
            <w:pPr>
              <w:spacing w:after="0" w:line="274" w:lineRule="exact"/>
              <w:jc w:val="center"/>
              <w:rPr>
                <w:color w:val="auto"/>
                <w:sz w:val="20"/>
                <w:szCs w:val="20"/>
              </w:rPr>
            </w:pPr>
            <w:r>
              <w:rPr>
                <w:rFonts w:ascii="仿宋" w:hAnsi="仿宋" w:eastAsia="仿宋" w:cs="仿宋"/>
                <w:b/>
                <w:bCs/>
                <w:color w:val="auto"/>
                <w:w w:val="99"/>
                <w:sz w:val="24"/>
                <w:szCs w:val="24"/>
              </w:rPr>
              <w:t>评议</w:t>
            </w:r>
          </w:p>
        </w:tc>
        <w:tc>
          <w:tcPr>
            <w:tcW w:w="318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2100" w:type="dxa"/>
            <w:vAlign w:val="bottom"/>
          </w:tcPr>
          <w:p>
            <w:pPr>
              <w:spacing w:after="0"/>
              <w:rPr>
                <w:color w:val="auto"/>
                <w:sz w:val="24"/>
                <w:szCs w:val="24"/>
              </w:rPr>
            </w:pPr>
          </w:p>
        </w:tc>
        <w:tc>
          <w:tcPr>
            <w:tcW w:w="800" w:type="dxa"/>
            <w:vAlign w:val="bottom"/>
          </w:tcPr>
          <w:p>
            <w:pPr>
              <w:spacing w:after="0"/>
              <w:rPr>
                <w:color w:val="auto"/>
                <w:sz w:val="24"/>
                <w:szCs w:val="24"/>
              </w:rPr>
            </w:pPr>
          </w:p>
        </w:tc>
        <w:tc>
          <w:tcPr>
            <w:tcW w:w="940" w:type="dxa"/>
            <w:vAlign w:val="bottom"/>
          </w:tcPr>
          <w:p>
            <w:pPr>
              <w:spacing w:after="0"/>
              <w:rPr>
                <w:color w:val="auto"/>
                <w:sz w:val="24"/>
                <w:szCs w:val="24"/>
              </w:rPr>
            </w:pPr>
          </w:p>
        </w:tc>
        <w:tc>
          <w:tcPr>
            <w:tcW w:w="10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0" w:hRule="atLeast"/>
        </w:trPr>
        <w:tc>
          <w:tcPr>
            <w:tcW w:w="940" w:type="dxa"/>
            <w:tcBorders>
              <w:left w:val="single" w:color="auto" w:sz="8" w:space="0"/>
              <w:right w:val="single" w:color="auto" w:sz="8" w:space="0"/>
            </w:tcBorders>
            <w:vAlign w:val="bottom"/>
          </w:tcPr>
          <w:p>
            <w:pPr>
              <w:spacing w:after="0" w:line="274" w:lineRule="exact"/>
              <w:jc w:val="center"/>
              <w:rPr>
                <w:color w:val="auto"/>
                <w:sz w:val="20"/>
                <w:szCs w:val="20"/>
              </w:rPr>
            </w:pPr>
            <w:r>
              <w:rPr>
                <w:rFonts w:ascii="仿宋" w:hAnsi="仿宋" w:eastAsia="仿宋" w:cs="仿宋"/>
                <w:b/>
                <w:bCs/>
                <w:color w:val="auto"/>
                <w:w w:val="99"/>
                <w:sz w:val="24"/>
                <w:szCs w:val="24"/>
              </w:rPr>
              <w:t>意见</w:t>
            </w:r>
          </w:p>
        </w:tc>
        <w:tc>
          <w:tcPr>
            <w:tcW w:w="3900" w:type="dxa"/>
            <w:gridSpan w:val="3"/>
            <w:vAlign w:val="bottom"/>
          </w:tcPr>
          <w:p>
            <w:pPr>
              <w:spacing w:after="0" w:line="274" w:lineRule="exact"/>
              <w:ind w:left="1520"/>
              <w:rPr>
                <w:color w:val="auto"/>
                <w:sz w:val="20"/>
                <w:szCs w:val="20"/>
              </w:rPr>
            </w:pPr>
            <w:r>
              <w:rPr>
                <w:rFonts w:ascii="仿宋" w:hAnsi="仿宋" w:eastAsia="仿宋" w:cs="仿宋"/>
                <w:color w:val="auto"/>
                <w:sz w:val="24"/>
                <w:szCs w:val="24"/>
              </w:rPr>
              <w:t>班长签名：</w:t>
            </w:r>
          </w:p>
        </w:tc>
        <w:tc>
          <w:tcPr>
            <w:tcW w:w="240" w:type="dxa"/>
            <w:vAlign w:val="bottom"/>
          </w:tcPr>
          <w:p>
            <w:pPr>
              <w:spacing w:after="0"/>
              <w:rPr>
                <w:color w:val="auto"/>
                <w:sz w:val="24"/>
                <w:szCs w:val="24"/>
              </w:rPr>
            </w:pPr>
          </w:p>
        </w:tc>
        <w:tc>
          <w:tcPr>
            <w:tcW w:w="2100" w:type="dxa"/>
            <w:vAlign w:val="bottom"/>
          </w:tcPr>
          <w:p>
            <w:pPr>
              <w:spacing w:after="0"/>
              <w:rPr>
                <w:color w:val="auto"/>
                <w:sz w:val="24"/>
                <w:szCs w:val="24"/>
              </w:rPr>
            </w:pPr>
          </w:p>
        </w:tc>
        <w:tc>
          <w:tcPr>
            <w:tcW w:w="800" w:type="dxa"/>
            <w:vAlign w:val="bottom"/>
          </w:tcPr>
          <w:p>
            <w:pPr>
              <w:spacing w:after="0" w:line="274" w:lineRule="exact"/>
              <w:ind w:right="120"/>
              <w:jc w:val="right"/>
              <w:rPr>
                <w:color w:val="auto"/>
                <w:sz w:val="20"/>
                <w:szCs w:val="20"/>
              </w:rPr>
            </w:pPr>
            <w:r>
              <w:rPr>
                <w:rFonts w:ascii="仿宋" w:hAnsi="仿宋" w:eastAsia="仿宋" w:cs="仿宋"/>
                <w:color w:val="auto"/>
                <w:sz w:val="24"/>
                <w:szCs w:val="24"/>
              </w:rPr>
              <w:t>年</w:t>
            </w:r>
          </w:p>
        </w:tc>
        <w:tc>
          <w:tcPr>
            <w:tcW w:w="940" w:type="dxa"/>
            <w:vAlign w:val="bottom"/>
          </w:tcPr>
          <w:p>
            <w:pPr>
              <w:spacing w:after="0" w:line="274" w:lineRule="exact"/>
              <w:ind w:left="360"/>
              <w:rPr>
                <w:color w:val="auto"/>
                <w:sz w:val="20"/>
                <w:szCs w:val="20"/>
              </w:rPr>
            </w:pPr>
            <w:r>
              <w:rPr>
                <w:rFonts w:ascii="仿宋" w:hAnsi="仿宋" w:eastAsia="仿宋" w:cs="仿宋"/>
                <w:color w:val="auto"/>
                <w:sz w:val="24"/>
                <w:szCs w:val="24"/>
              </w:rPr>
              <w:t>月</w:t>
            </w:r>
          </w:p>
        </w:tc>
        <w:tc>
          <w:tcPr>
            <w:tcW w:w="1060" w:type="dxa"/>
            <w:tcBorders>
              <w:right w:val="single" w:color="auto" w:sz="8" w:space="0"/>
            </w:tcBorders>
            <w:vAlign w:val="bottom"/>
          </w:tcPr>
          <w:p>
            <w:pPr>
              <w:spacing w:after="0" w:line="274" w:lineRule="exact"/>
              <w:ind w:right="440"/>
              <w:jc w:val="right"/>
              <w:rPr>
                <w:color w:val="auto"/>
                <w:sz w:val="20"/>
                <w:szCs w:val="20"/>
              </w:rPr>
            </w:pPr>
            <w:r>
              <w:rPr>
                <w:rFonts w:ascii="仿宋" w:hAnsi="仿宋" w:eastAsia="仿宋" w:cs="仿宋"/>
                <w:color w:val="auto"/>
                <w:sz w:val="24"/>
                <w:szCs w:val="24"/>
              </w:rPr>
              <w:t>日</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74" w:hRule="atLeast"/>
        </w:trPr>
        <w:tc>
          <w:tcPr>
            <w:tcW w:w="9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3180" w:type="dxa"/>
            <w:tcBorders>
              <w:bottom w:val="single" w:color="auto" w:sz="8" w:space="0"/>
            </w:tcBorders>
            <w:vAlign w:val="bottom"/>
          </w:tcPr>
          <w:p>
            <w:pPr>
              <w:spacing w:after="0"/>
              <w:rPr>
                <w:color w:val="auto"/>
                <w:sz w:val="24"/>
                <w:szCs w:val="24"/>
              </w:rPr>
            </w:pPr>
          </w:p>
        </w:tc>
        <w:tc>
          <w:tcPr>
            <w:tcW w:w="240" w:type="dxa"/>
            <w:tcBorders>
              <w:bottom w:val="single" w:color="auto" w:sz="8" w:space="0"/>
            </w:tcBorders>
            <w:vAlign w:val="bottom"/>
          </w:tcPr>
          <w:p>
            <w:pPr>
              <w:spacing w:after="0"/>
              <w:rPr>
                <w:color w:val="auto"/>
                <w:sz w:val="24"/>
                <w:szCs w:val="24"/>
              </w:rPr>
            </w:pPr>
          </w:p>
        </w:tc>
        <w:tc>
          <w:tcPr>
            <w:tcW w:w="480" w:type="dxa"/>
            <w:tcBorders>
              <w:bottom w:val="single" w:color="auto" w:sz="8" w:space="0"/>
            </w:tcBorders>
            <w:vAlign w:val="bottom"/>
          </w:tcPr>
          <w:p>
            <w:pPr>
              <w:spacing w:after="0"/>
              <w:rPr>
                <w:color w:val="auto"/>
                <w:sz w:val="24"/>
                <w:szCs w:val="24"/>
              </w:rPr>
            </w:pPr>
          </w:p>
        </w:tc>
        <w:tc>
          <w:tcPr>
            <w:tcW w:w="240" w:type="dxa"/>
            <w:tcBorders>
              <w:bottom w:val="single" w:color="auto" w:sz="8" w:space="0"/>
            </w:tcBorders>
            <w:vAlign w:val="bottom"/>
          </w:tcPr>
          <w:p>
            <w:pPr>
              <w:spacing w:after="0"/>
              <w:rPr>
                <w:color w:val="auto"/>
                <w:sz w:val="24"/>
                <w:szCs w:val="24"/>
              </w:rPr>
            </w:pPr>
          </w:p>
        </w:tc>
        <w:tc>
          <w:tcPr>
            <w:tcW w:w="2100" w:type="dxa"/>
            <w:tcBorders>
              <w:bottom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06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75" w:hRule="atLeast"/>
        </w:trPr>
        <w:tc>
          <w:tcPr>
            <w:tcW w:w="940" w:type="dxa"/>
            <w:tcBorders>
              <w:left w:val="single" w:color="auto" w:sz="8" w:space="0"/>
              <w:right w:val="single" w:color="auto" w:sz="8" w:space="0"/>
            </w:tcBorders>
            <w:vAlign w:val="bottom"/>
          </w:tcPr>
          <w:p>
            <w:pPr>
              <w:spacing w:after="0" w:line="274" w:lineRule="exact"/>
              <w:jc w:val="center"/>
              <w:rPr>
                <w:color w:val="auto"/>
                <w:sz w:val="20"/>
                <w:szCs w:val="20"/>
              </w:rPr>
            </w:pPr>
            <w:r>
              <w:rPr>
                <w:rFonts w:ascii="仿宋" w:hAnsi="仿宋" w:eastAsia="仿宋" w:cs="仿宋"/>
                <w:b/>
                <w:bCs/>
                <w:color w:val="auto"/>
                <w:w w:val="99"/>
                <w:sz w:val="24"/>
                <w:szCs w:val="24"/>
              </w:rPr>
              <w:t>推荐</w:t>
            </w:r>
          </w:p>
        </w:tc>
        <w:tc>
          <w:tcPr>
            <w:tcW w:w="318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2100" w:type="dxa"/>
            <w:vAlign w:val="bottom"/>
          </w:tcPr>
          <w:p>
            <w:pPr>
              <w:spacing w:after="0"/>
              <w:rPr>
                <w:color w:val="auto"/>
                <w:sz w:val="24"/>
                <w:szCs w:val="24"/>
              </w:rPr>
            </w:pPr>
          </w:p>
        </w:tc>
        <w:tc>
          <w:tcPr>
            <w:tcW w:w="800" w:type="dxa"/>
            <w:vAlign w:val="bottom"/>
          </w:tcPr>
          <w:p>
            <w:pPr>
              <w:spacing w:after="0"/>
              <w:rPr>
                <w:color w:val="auto"/>
                <w:sz w:val="24"/>
                <w:szCs w:val="24"/>
              </w:rPr>
            </w:pPr>
          </w:p>
        </w:tc>
        <w:tc>
          <w:tcPr>
            <w:tcW w:w="940" w:type="dxa"/>
            <w:vAlign w:val="bottom"/>
          </w:tcPr>
          <w:p>
            <w:pPr>
              <w:spacing w:after="0"/>
              <w:rPr>
                <w:color w:val="auto"/>
                <w:sz w:val="24"/>
                <w:szCs w:val="24"/>
              </w:rPr>
            </w:pPr>
          </w:p>
        </w:tc>
        <w:tc>
          <w:tcPr>
            <w:tcW w:w="10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2" w:hRule="atLeast"/>
        </w:trPr>
        <w:tc>
          <w:tcPr>
            <w:tcW w:w="940" w:type="dxa"/>
            <w:tcBorders>
              <w:left w:val="single" w:color="auto" w:sz="8" w:space="0"/>
              <w:right w:val="single" w:color="auto" w:sz="8" w:space="0"/>
            </w:tcBorders>
            <w:vAlign w:val="bottom"/>
          </w:tcPr>
          <w:p>
            <w:pPr>
              <w:spacing w:after="0" w:line="274" w:lineRule="exact"/>
              <w:jc w:val="center"/>
              <w:rPr>
                <w:color w:val="auto"/>
                <w:sz w:val="20"/>
                <w:szCs w:val="20"/>
              </w:rPr>
            </w:pPr>
            <w:r>
              <w:rPr>
                <w:rFonts w:ascii="仿宋" w:hAnsi="仿宋" w:eastAsia="仿宋" w:cs="仿宋"/>
                <w:b/>
                <w:bCs/>
                <w:color w:val="auto"/>
                <w:w w:val="99"/>
                <w:sz w:val="24"/>
                <w:szCs w:val="24"/>
              </w:rPr>
              <w:t>意见</w:t>
            </w:r>
          </w:p>
        </w:tc>
        <w:tc>
          <w:tcPr>
            <w:tcW w:w="3900" w:type="dxa"/>
            <w:gridSpan w:val="3"/>
            <w:vMerge w:val="restart"/>
            <w:vAlign w:val="bottom"/>
          </w:tcPr>
          <w:p>
            <w:pPr>
              <w:spacing w:after="0" w:line="274" w:lineRule="exact"/>
              <w:ind w:left="1520"/>
              <w:rPr>
                <w:color w:val="auto"/>
                <w:sz w:val="20"/>
                <w:szCs w:val="20"/>
              </w:rPr>
            </w:pPr>
            <w:r>
              <w:rPr>
                <w:rFonts w:ascii="仿宋" w:hAnsi="仿宋" w:eastAsia="仿宋" w:cs="仿宋"/>
                <w:color w:val="auto"/>
                <w:sz w:val="24"/>
                <w:szCs w:val="24"/>
              </w:rPr>
              <w:t>导师签名：</w:t>
            </w:r>
          </w:p>
        </w:tc>
        <w:tc>
          <w:tcPr>
            <w:tcW w:w="240" w:type="dxa"/>
            <w:vAlign w:val="bottom"/>
          </w:tcPr>
          <w:p>
            <w:pPr>
              <w:spacing w:after="0"/>
              <w:rPr>
                <w:color w:val="auto"/>
                <w:sz w:val="24"/>
                <w:szCs w:val="24"/>
              </w:rPr>
            </w:pPr>
          </w:p>
        </w:tc>
        <w:tc>
          <w:tcPr>
            <w:tcW w:w="2100" w:type="dxa"/>
            <w:vAlign w:val="bottom"/>
          </w:tcPr>
          <w:p>
            <w:pPr>
              <w:spacing w:after="0"/>
              <w:rPr>
                <w:color w:val="auto"/>
                <w:sz w:val="24"/>
                <w:szCs w:val="24"/>
              </w:rPr>
            </w:pPr>
          </w:p>
        </w:tc>
        <w:tc>
          <w:tcPr>
            <w:tcW w:w="800" w:type="dxa"/>
            <w:vMerge w:val="restart"/>
            <w:vAlign w:val="bottom"/>
          </w:tcPr>
          <w:p>
            <w:pPr>
              <w:spacing w:after="0" w:line="274" w:lineRule="exact"/>
              <w:ind w:right="120"/>
              <w:jc w:val="right"/>
              <w:rPr>
                <w:color w:val="auto"/>
                <w:sz w:val="20"/>
                <w:szCs w:val="20"/>
              </w:rPr>
            </w:pPr>
            <w:r>
              <w:rPr>
                <w:rFonts w:ascii="仿宋" w:hAnsi="仿宋" w:eastAsia="仿宋" w:cs="仿宋"/>
                <w:color w:val="auto"/>
                <w:sz w:val="24"/>
                <w:szCs w:val="24"/>
              </w:rPr>
              <w:t>年</w:t>
            </w:r>
          </w:p>
        </w:tc>
        <w:tc>
          <w:tcPr>
            <w:tcW w:w="940" w:type="dxa"/>
            <w:vMerge w:val="restart"/>
            <w:vAlign w:val="bottom"/>
          </w:tcPr>
          <w:p>
            <w:pPr>
              <w:spacing w:after="0" w:line="274" w:lineRule="exact"/>
              <w:ind w:left="360"/>
              <w:rPr>
                <w:color w:val="auto"/>
                <w:sz w:val="20"/>
                <w:szCs w:val="20"/>
              </w:rPr>
            </w:pPr>
            <w:r>
              <w:rPr>
                <w:rFonts w:ascii="仿宋" w:hAnsi="仿宋" w:eastAsia="仿宋" w:cs="仿宋"/>
                <w:color w:val="auto"/>
                <w:sz w:val="24"/>
                <w:szCs w:val="24"/>
              </w:rPr>
              <w:t>月</w:t>
            </w:r>
          </w:p>
        </w:tc>
        <w:tc>
          <w:tcPr>
            <w:tcW w:w="1060" w:type="dxa"/>
            <w:vMerge w:val="restart"/>
            <w:tcBorders>
              <w:right w:val="single" w:color="auto" w:sz="8" w:space="0"/>
            </w:tcBorders>
            <w:vAlign w:val="bottom"/>
          </w:tcPr>
          <w:p>
            <w:pPr>
              <w:spacing w:after="0" w:line="274" w:lineRule="exact"/>
              <w:ind w:right="440"/>
              <w:jc w:val="right"/>
              <w:rPr>
                <w:color w:val="auto"/>
                <w:sz w:val="20"/>
                <w:szCs w:val="20"/>
              </w:rPr>
            </w:pPr>
            <w:r>
              <w:rPr>
                <w:rFonts w:ascii="仿宋" w:hAnsi="仿宋" w:eastAsia="仿宋" w:cs="仿宋"/>
                <w:color w:val="auto"/>
                <w:sz w:val="24"/>
                <w:szCs w:val="24"/>
              </w:rPr>
              <w:t>日</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0" w:hRule="atLeast"/>
        </w:trPr>
        <w:tc>
          <w:tcPr>
            <w:tcW w:w="940" w:type="dxa"/>
            <w:tcBorders>
              <w:left w:val="single" w:color="auto" w:sz="8" w:space="0"/>
              <w:right w:val="single" w:color="auto" w:sz="8" w:space="0"/>
            </w:tcBorders>
            <w:vAlign w:val="bottom"/>
          </w:tcPr>
          <w:p>
            <w:pPr>
              <w:spacing w:after="0"/>
              <w:rPr>
                <w:color w:val="auto"/>
                <w:sz w:val="14"/>
                <w:szCs w:val="14"/>
              </w:rPr>
            </w:pPr>
          </w:p>
        </w:tc>
        <w:tc>
          <w:tcPr>
            <w:tcW w:w="3900" w:type="dxa"/>
            <w:gridSpan w:val="3"/>
            <w:vMerge w:val="continue"/>
            <w:vAlign w:val="bottom"/>
          </w:tcPr>
          <w:p>
            <w:pPr>
              <w:spacing w:after="0"/>
              <w:rPr>
                <w:color w:val="auto"/>
                <w:sz w:val="14"/>
                <w:szCs w:val="14"/>
              </w:rPr>
            </w:pPr>
          </w:p>
        </w:tc>
        <w:tc>
          <w:tcPr>
            <w:tcW w:w="240" w:type="dxa"/>
            <w:vAlign w:val="bottom"/>
          </w:tcPr>
          <w:p>
            <w:pPr>
              <w:spacing w:after="0"/>
              <w:rPr>
                <w:color w:val="auto"/>
                <w:sz w:val="14"/>
                <w:szCs w:val="14"/>
              </w:rPr>
            </w:pPr>
          </w:p>
        </w:tc>
        <w:tc>
          <w:tcPr>
            <w:tcW w:w="2100" w:type="dxa"/>
            <w:vAlign w:val="bottom"/>
          </w:tcPr>
          <w:p>
            <w:pPr>
              <w:spacing w:after="0"/>
              <w:rPr>
                <w:color w:val="auto"/>
                <w:sz w:val="14"/>
                <w:szCs w:val="14"/>
              </w:rPr>
            </w:pPr>
          </w:p>
        </w:tc>
        <w:tc>
          <w:tcPr>
            <w:tcW w:w="800" w:type="dxa"/>
            <w:vMerge w:val="continue"/>
            <w:vAlign w:val="bottom"/>
          </w:tcPr>
          <w:p>
            <w:pPr>
              <w:spacing w:after="0"/>
              <w:rPr>
                <w:color w:val="auto"/>
                <w:sz w:val="14"/>
                <w:szCs w:val="14"/>
              </w:rPr>
            </w:pPr>
          </w:p>
        </w:tc>
        <w:tc>
          <w:tcPr>
            <w:tcW w:w="940" w:type="dxa"/>
            <w:vMerge w:val="continue"/>
            <w:vAlign w:val="bottom"/>
          </w:tcPr>
          <w:p>
            <w:pPr>
              <w:spacing w:after="0"/>
              <w:rPr>
                <w:color w:val="auto"/>
                <w:sz w:val="14"/>
                <w:szCs w:val="14"/>
              </w:rPr>
            </w:pPr>
          </w:p>
        </w:tc>
        <w:tc>
          <w:tcPr>
            <w:tcW w:w="1060" w:type="dxa"/>
            <w:vMerge w:val="continue"/>
            <w:tcBorders>
              <w:right w:val="single" w:color="auto" w:sz="8" w:space="0"/>
            </w:tcBorders>
            <w:vAlign w:val="bottom"/>
          </w:tcPr>
          <w:p>
            <w:pPr>
              <w:spacing w:after="0"/>
              <w:rPr>
                <w:color w:val="auto"/>
                <w:sz w:val="14"/>
                <w:szCs w:val="1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78" w:hRule="atLeast"/>
        </w:trPr>
        <w:tc>
          <w:tcPr>
            <w:tcW w:w="9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3180" w:type="dxa"/>
            <w:tcBorders>
              <w:bottom w:val="single" w:color="auto" w:sz="8" w:space="0"/>
            </w:tcBorders>
            <w:vAlign w:val="bottom"/>
          </w:tcPr>
          <w:p>
            <w:pPr>
              <w:spacing w:after="0"/>
              <w:rPr>
                <w:color w:val="auto"/>
                <w:sz w:val="24"/>
                <w:szCs w:val="24"/>
              </w:rPr>
            </w:pPr>
          </w:p>
        </w:tc>
        <w:tc>
          <w:tcPr>
            <w:tcW w:w="240" w:type="dxa"/>
            <w:tcBorders>
              <w:bottom w:val="single" w:color="auto" w:sz="8" w:space="0"/>
            </w:tcBorders>
            <w:vAlign w:val="bottom"/>
          </w:tcPr>
          <w:p>
            <w:pPr>
              <w:spacing w:after="0"/>
              <w:rPr>
                <w:color w:val="auto"/>
                <w:sz w:val="24"/>
                <w:szCs w:val="24"/>
              </w:rPr>
            </w:pPr>
          </w:p>
        </w:tc>
        <w:tc>
          <w:tcPr>
            <w:tcW w:w="480" w:type="dxa"/>
            <w:tcBorders>
              <w:bottom w:val="single" w:color="auto" w:sz="8" w:space="0"/>
            </w:tcBorders>
            <w:vAlign w:val="bottom"/>
          </w:tcPr>
          <w:p>
            <w:pPr>
              <w:spacing w:after="0"/>
              <w:rPr>
                <w:color w:val="auto"/>
                <w:sz w:val="24"/>
                <w:szCs w:val="24"/>
              </w:rPr>
            </w:pPr>
          </w:p>
        </w:tc>
        <w:tc>
          <w:tcPr>
            <w:tcW w:w="240" w:type="dxa"/>
            <w:tcBorders>
              <w:bottom w:val="single" w:color="auto" w:sz="8" w:space="0"/>
            </w:tcBorders>
            <w:vAlign w:val="bottom"/>
          </w:tcPr>
          <w:p>
            <w:pPr>
              <w:spacing w:after="0"/>
              <w:rPr>
                <w:color w:val="auto"/>
                <w:sz w:val="24"/>
                <w:szCs w:val="24"/>
              </w:rPr>
            </w:pPr>
          </w:p>
        </w:tc>
        <w:tc>
          <w:tcPr>
            <w:tcW w:w="2100" w:type="dxa"/>
            <w:tcBorders>
              <w:bottom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06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810" w:hRule="atLeast"/>
        </w:trPr>
        <w:tc>
          <w:tcPr>
            <w:tcW w:w="940" w:type="dxa"/>
            <w:tcBorders>
              <w:left w:val="single" w:color="auto" w:sz="8" w:space="0"/>
              <w:right w:val="single" w:color="auto" w:sz="8" w:space="0"/>
            </w:tcBorders>
            <w:vAlign w:val="bottom"/>
          </w:tcPr>
          <w:p>
            <w:pPr>
              <w:spacing w:after="0" w:line="274" w:lineRule="exact"/>
              <w:jc w:val="center"/>
              <w:rPr>
                <w:color w:val="auto"/>
                <w:sz w:val="20"/>
                <w:szCs w:val="20"/>
              </w:rPr>
            </w:pPr>
            <w:r>
              <w:rPr>
                <w:rFonts w:ascii="仿宋" w:hAnsi="仿宋" w:eastAsia="仿宋" w:cs="仿宋"/>
                <w:b/>
                <w:bCs/>
                <w:color w:val="auto"/>
                <w:w w:val="99"/>
                <w:sz w:val="24"/>
                <w:szCs w:val="24"/>
              </w:rPr>
              <w:t>评审</w:t>
            </w:r>
          </w:p>
        </w:tc>
        <w:tc>
          <w:tcPr>
            <w:tcW w:w="318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2100" w:type="dxa"/>
            <w:vAlign w:val="bottom"/>
          </w:tcPr>
          <w:p>
            <w:pPr>
              <w:spacing w:after="0"/>
              <w:rPr>
                <w:color w:val="auto"/>
                <w:sz w:val="24"/>
                <w:szCs w:val="24"/>
              </w:rPr>
            </w:pPr>
          </w:p>
        </w:tc>
        <w:tc>
          <w:tcPr>
            <w:tcW w:w="800" w:type="dxa"/>
            <w:vAlign w:val="bottom"/>
          </w:tcPr>
          <w:p>
            <w:pPr>
              <w:spacing w:after="0"/>
              <w:rPr>
                <w:color w:val="auto"/>
                <w:sz w:val="24"/>
                <w:szCs w:val="24"/>
              </w:rPr>
            </w:pPr>
          </w:p>
        </w:tc>
        <w:tc>
          <w:tcPr>
            <w:tcW w:w="940" w:type="dxa"/>
            <w:vAlign w:val="bottom"/>
          </w:tcPr>
          <w:p>
            <w:pPr>
              <w:spacing w:after="0"/>
              <w:rPr>
                <w:color w:val="auto"/>
                <w:sz w:val="24"/>
                <w:szCs w:val="24"/>
              </w:rPr>
            </w:pPr>
          </w:p>
        </w:tc>
        <w:tc>
          <w:tcPr>
            <w:tcW w:w="10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2" w:hRule="atLeast"/>
        </w:trPr>
        <w:tc>
          <w:tcPr>
            <w:tcW w:w="940" w:type="dxa"/>
            <w:tcBorders>
              <w:left w:val="single" w:color="auto" w:sz="8" w:space="0"/>
              <w:right w:val="single" w:color="auto" w:sz="8" w:space="0"/>
            </w:tcBorders>
            <w:vAlign w:val="bottom"/>
          </w:tcPr>
          <w:p>
            <w:pPr>
              <w:spacing w:after="0" w:line="274" w:lineRule="exact"/>
              <w:jc w:val="center"/>
              <w:rPr>
                <w:color w:val="auto"/>
                <w:sz w:val="20"/>
                <w:szCs w:val="20"/>
              </w:rPr>
            </w:pPr>
            <w:r>
              <w:rPr>
                <w:rFonts w:ascii="仿宋" w:hAnsi="仿宋" w:eastAsia="仿宋" w:cs="仿宋"/>
                <w:b/>
                <w:bCs/>
                <w:color w:val="auto"/>
                <w:w w:val="99"/>
                <w:sz w:val="24"/>
                <w:szCs w:val="24"/>
              </w:rPr>
              <w:t>情况</w:t>
            </w:r>
          </w:p>
        </w:tc>
        <w:tc>
          <w:tcPr>
            <w:tcW w:w="318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3840" w:type="dxa"/>
            <w:gridSpan w:val="3"/>
            <w:vAlign w:val="bottom"/>
          </w:tcPr>
          <w:p>
            <w:pPr>
              <w:spacing w:after="0" w:line="274" w:lineRule="exact"/>
              <w:ind w:right="460"/>
              <w:jc w:val="right"/>
              <w:rPr>
                <w:color w:val="auto"/>
                <w:sz w:val="20"/>
                <w:szCs w:val="20"/>
              </w:rPr>
            </w:pPr>
            <w:r>
              <w:rPr>
                <w:rFonts w:ascii="仿宋" w:hAnsi="仿宋" w:eastAsia="仿宋" w:cs="仿宋"/>
                <w:color w:val="auto"/>
                <w:sz w:val="24"/>
                <w:szCs w:val="24"/>
              </w:rPr>
              <w:t>评审委员会主任委员签名：</w:t>
            </w:r>
          </w:p>
        </w:tc>
        <w:tc>
          <w:tcPr>
            <w:tcW w:w="10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2" w:hRule="atLeast"/>
        </w:trPr>
        <w:tc>
          <w:tcPr>
            <w:tcW w:w="940" w:type="dxa"/>
            <w:tcBorders>
              <w:left w:val="single" w:color="auto" w:sz="8" w:space="0"/>
              <w:right w:val="single" w:color="auto" w:sz="8" w:space="0"/>
            </w:tcBorders>
            <w:vAlign w:val="bottom"/>
          </w:tcPr>
          <w:p>
            <w:pPr>
              <w:spacing w:after="0"/>
              <w:rPr>
                <w:color w:val="auto"/>
                <w:sz w:val="24"/>
                <w:szCs w:val="24"/>
              </w:rPr>
            </w:pPr>
          </w:p>
        </w:tc>
        <w:tc>
          <w:tcPr>
            <w:tcW w:w="318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2100" w:type="dxa"/>
            <w:vAlign w:val="bottom"/>
          </w:tcPr>
          <w:p>
            <w:pPr>
              <w:spacing w:after="0"/>
              <w:rPr>
                <w:color w:val="auto"/>
                <w:sz w:val="24"/>
                <w:szCs w:val="24"/>
              </w:rPr>
            </w:pPr>
          </w:p>
        </w:tc>
        <w:tc>
          <w:tcPr>
            <w:tcW w:w="800" w:type="dxa"/>
            <w:vAlign w:val="bottom"/>
          </w:tcPr>
          <w:p>
            <w:pPr>
              <w:spacing w:after="0" w:line="274" w:lineRule="exact"/>
              <w:ind w:right="160"/>
              <w:jc w:val="right"/>
              <w:rPr>
                <w:color w:val="auto"/>
                <w:sz w:val="20"/>
                <w:szCs w:val="20"/>
              </w:rPr>
            </w:pPr>
            <w:r>
              <w:rPr>
                <w:rFonts w:ascii="仿宋" w:hAnsi="仿宋" w:eastAsia="仿宋" w:cs="仿宋"/>
                <w:color w:val="auto"/>
                <w:sz w:val="24"/>
                <w:szCs w:val="24"/>
              </w:rPr>
              <w:t>年</w:t>
            </w:r>
          </w:p>
        </w:tc>
        <w:tc>
          <w:tcPr>
            <w:tcW w:w="940" w:type="dxa"/>
            <w:vAlign w:val="bottom"/>
          </w:tcPr>
          <w:p>
            <w:pPr>
              <w:spacing w:after="0" w:line="274" w:lineRule="exact"/>
              <w:ind w:left="320"/>
              <w:rPr>
                <w:color w:val="auto"/>
                <w:sz w:val="20"/>
                <w:szCs w:val="20"/>
              </w:rPr>
            </w:pPr>
            <w:r>
              <w:rPr>
                <w:rFonts w:ascii="仿宋" w:hAnsi="仿宋" w:eastAsia="仿宋" w:cs="仿宋"/>
                <w:color w:val="auto"/>
                <w:sz w:val="24"/>
                <w:szCs w:val="24"/>
              </w:rPr>
              <w:t>月</w:t>
            </w:r>
          </w:p>
        </w:tc>
        <w:tc>
          <w:tcPr>
            <w:tcW w:w="1060" w:type="dxa"/>
            <w:tcBorders>
              <w:right w:val="single" w:color="auto" w:sz="8" w:space="0"/>
            </w:tcBorders>
            <w:vAlign w:val="bottom"/>
          </w:tcPr>
          <w:p>
            <w:pPr>
              <w:spacing w:after="0" w:line="274" w:lineRule="exact"/>
              <w:ind w:right="480"/>
              <w:jc w:val="right"/>
              <w:rPr>
                <w:color w:val="auto"/>
                <w:sz w:val="20"/>
                <w:szCs w:val="20"/>
              </w:rPr>
            </w:pPr>
            <w:r>
              <w:rPr>
                <w:rFonts w:ascii="仿宋" w:hAnsi="仿宋" w:eastAsia="仿宋" w:cs="仿宋"/>
                <w:color w:val="auto"/>
                <w:sz w:val="24"/>
                <w:szCs w:val="24"/>
              </w:rPr>
              <w:t>日</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3" w:hRule="atLeast"/>
        </w:trPr>
        <w:tc>
          <w:tcPr>
            <w:tcW w:w="940" w:type="dxa"/>
            <w:tcBorders>
              <w:left w:val="single" w:color="auto" w:sz="8" w:space="0"/>
              <w:bottom w:val="single" w:color="auto" w:sz="8" w:space="0"/>
              <w:right w:val="single" w:color="auto" w:sz="8" w:space="0"/>
            </w:tcBorders>
            <w:vAlign w:val="bottom"/>
          </w:tcPr>
          <w:p>
            <w:pPr>
              <w:spacing w:after="0"/>
              <w:rPr>
                <w:color w:val="auto"/>
                <w:sz w:val="23"/>
                <w:szCs w:val="23"/>
              </w:rPr>
            </w:pPr>
          </w:p>
        </w:tc>
        <w:tc>
          <w:tcPr>
            <w:tcW w:w="3900" w:type="dxa"/>
            <w:gridSpan w:val="3"/>
            <w:tcBorders>
              <w:bottom w:val="single" w:color="auto" w:sz="8" w:space="0"/>
            </w:tcBorders>
            <w:vAlign w:val="bottom"/>
          </w:tcPr>
          <w:p>
            <w:pPr>
              <w:spacing w:after="0"/>
              <w:rPr>
                <w:color w:val="auto"/>
                <w:sz w:val="23"/>
                <w:szCs w:val="23"/>
              </w:rPr>
            </w:pPr>
          </w:p>
        </w:tc>
        <w:tc>
          <w:tcPr>
            <w:tcW w:w="240" w:type="dxa"/>
            <w:tcBorders>
              <w:bottom w:val="single" w:color="auto" w:sz="8" w:space="0"/>
            </w:tcBorders>
            <w:vAlign w:val="bottom"/>
          </w:tcPr>
          <w:p>
            <w:pPr>
              <w:spacing w:after="0"/>
              <w:rPr>
                <w:color w:val="auto"/>
                <w:sz w:val="23"/>
                <w:szCs w:val="23"/>
              </w:rPr>
            </w:pPr>
          </w:p>
        </w:tc>
        <w:tc>
          <w:tcPr>
            <w:tcW w:w="4900" w:type="dxa"/>
            <w:gridSpan w:val="4"/>
            <w:tcBorders>
              <w:bottom w:val="single" w:color="auto" w:sz="8" w:space="0"/>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50" w:hRule="atLeast"/>
        </w:trPr>
        <w:tc>
          <w:tcPr>
            <w:tcW w:w="940" w:type="dxa"/>
            <w:vMerge w:val="restart"/>
            <w:tcBorders>
              <w:left w:val="single" w:color="auto" w:sz="8" w:space="0"/>
              <w:right w:val="single" w:color="auto" w:sz="8" w:space="0"/>
            </w:tcBorders>
            <w:vAlign w:val="bottom"/>
          </w:tcPr>
          <w:p>
            <w:pPr>
              <w:spacing w:after="0" w:line="274" w:lineRule="exact"/>
              <w:jc w:val="center"/>
              <w:rPr>
                <w:color w:val="auto"/>
                <w:sz w:val="20"/>
                <w:szCs w:val="20"/>
              </w:rPr>
            </w:pPr>
            <w:r>
              <w:rPr>
                <w:rFonts w:ascii="仿宋" w:hAnsi="仿宋" w:eastAsia="仿宋" w:cs="仿宋"/>
                <w:b/>
                <w:bCs/>
                <w:color w:val="auto"/>
                <w:w w:val="99"/>
                <w:sz w:val="24"/>
                <w:szCs w:val="24"/>
              </w:rPr>
              <w:t>二</w:t>
            </w:r>
          </w:p>
        </w:tc>
        <w:tc>
          <w:tcPr>
            <w:tcW w:w="3900" w:type="dxa"/>
            <w:gridSpan w:val="3"/>
            <w:vAlign w:val="bottom"/>
          </w:tcPr>
          <w:p>
            <w:pPr>
              <w:spacing w:after="0" w:line="274" w:lineRule="exact"/>
              <w:ind w:left="560"/>
              <w:rPr>
                <w:color w:val="auto"/>
                <w:sz w:val="20"/>
                <w:szCs w:val="20"/>
              </w:rPr>
            </w:pPr>
            <w:r>
              <w:rPr>
                <w:rFonts w:ascii="仿宋" w:hAnsi="仿宋" w:eastAsia="仿宋" w:cs="仿宋"/>
                <w:color w:val="auto"/>
                <w:sz w:val="24"/>
                <w:szCs w:val="24"/>
              </w:rPr>
              <w:t>经评审，并在本单位内公示</w:t>
            </w:r>
          </w:p>
        </w:tc>
        <w:tc>
          <w:tcPr>
            <w:tcW w:w="240" w:type="dxa"/>
            <w:vAlign w:val="bottom"/>
          </w:tcPr>
          <w:p>
            <w:pPr>
              <w:spacing w:after="0"/>
              <w:rPr>
                <w:color w:val="auto"/>
                <w:sz w:val="24"/>
                <w:szCs w:val="24"/>
              </w:rPr>
            </w:pPr>
          </w:p>
        </w:tc>
        <w:tc>
          <w:tcPr>
            <w:tcW w:w="4900" w:type="dxa"/>
            <w:gridSpan w:val="4"/>
            <w:tcBorders>
              <w:right w:val="single" w:color="auto" w:sz="8" w:space="0"/>
            </w:tcBorders>
            <w:vAlign w:val="bottom"/>
          </w:tcPr>
          <w:p>
            <w:pPr>
              <w:spacing w:after="0" w:line="274" w:lineRule="exact"/>
              <w:jc w:val="right"/>
              <w:rPr>
                <w:color w:val="auto"/>
                <w:sz w:val="20"/>
                <w:szCs w:val="20"/>
              </w:rPr>
            </w:pPr>
            <w:r>
              <w:rPr>
                <w:rFonts w:ascii="仿宋" w:hAnsi="仿宋" w:eastAsia="仿宋" w:cs="仿宋"/>
                <w:color w:val="auto"/>
                <w:w w:val="99"/>
                <w:sz w:val="24"/>
                <w:szCs w:val="24"/>
              </w:rPr>
              <w:t>个工作日，无异议，本单位申报该同学获得研</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2" w:hRule="atLeast"/>
        </w:trPr>
        <w:tc>
          <w:tcPr>
            <w:tcW w:w="940" w:type="dxa"/>
            <w:vMerge w:val="continue"/>
            <w:tcBorders>
              <w:left w:val="single" w:color="auto" w:sz="8" w:space="0"/>
              <w:right w:val="single" w:color="auto" w:sz="8" w:space="0"/>
            </w:tcBorders>
            <w:vAlign w:val="bottom"/>
          </w:tcPr>
          <w:p>
            <w:pPr>
              <w:spacing w:after="0"/>
              <w:rPr>
                <w:color w:val="auto"/>
                <w:sz w:val="5"/>
                <w:szCs w:val="5"/>
              </w:rPr>
            </w:pPr>
          </w:p>
        </w:tc>
        <w:tc>
          <w:tcPr>
            <w:tcW w:w="3180" w:type="dxa"/>
            <w:vAlign w:val="bottom"/>
          </w:tcPr>
          <w:p>
            <w:pPr>
              <w:spacing w:after="0"/>
              <w:rPr>
                <w:color w:val="auto"/>
                <w:sz w:val="5"/>
                <w:szCs w:val="5"/>
              </w:rPr>
            </w:pPr>
          </w:p>
        </w:tc>
        <w:tc>
          <w:tcPr>
            <w:tcW w:w="240" w:type="dxa"/>
            <w:vAlign w:val="bottom"/>
          </w:tcPr>
          <w:p>
            <w:pPr>
              <w:spacing w:after="0"/>
              <w:rPr>
                <w:color w:val="auto"/>
                <w:sz w:val="5"/>
                <w:szCs w:val="5"/>
              </w:rPr>
            </w:pPr>
          </w:p>
        </w:tc>
        <w:tc>
          <w:tcPr>
            <w:tcW w:w="480" w:type="dxa"/>
            <w:tcBorders>
              <w:top w:val="single" w:color="auto" w:sz="8" w:space="0"/>
            </w:tcBorders>
            <w:vAlign w:val="bottom"/>
          </w:tcPr>
          <w:p>
            <w:pPr>
              <w:spacing w:after="0"/>
              <w:rPr>
                <w:color w:val="auto"/>
                <w:sz w:val="5"/>
                <w:szCs w:val="5"/>
              </w:rPr>
            </w:pPr>
          </w:p>
        </w:tc>
        <w:tc>
          <w:tcPr>
            <w:tcW w:w="240" w:type="dxa"/>
            <w:tcBorders>
              <w:top w:val="single" w:color="auto" w:sz="8" w:space="0"/>
            </w:tcBorders>
            <w:vAlign w:val="bottom"/>
          </w:tcPr>
          <w:p>
            <w:pPr>
              <w:spacing w:after="0"/>
              <w:rPr>
                <w:color w:val="auto"/>
                <w:sz w:val="5"/>
                <w:szCs w:val="5"/>
              </w:rPr>
            </w:pPr>
          </w:p>
        </w:tc>
        <w:tc>
          <w:tcPr>
            <w:tcW w:w="2100" w:type="dxa"/>
            <w:vAlign w:val="bottom"/>
          </w:tcPr>
          <w:p>
            <w:pPr>
              <w:spacing w:after="0"/>
              <w:rPr>
                <w:color w:val="auto"/>
                <w:sz w:val="5"/>
                <w:szCs w:val="5"/>
              </w:rPr>
            </w:pPr>
          </w:p>
        </w:tc>
        <w:tc>
          <w:tcPr>
            <w:tcW w:w="800" w:type="dxa"/>
            <w:vAlign w:val="bottom"/>
          </w:tcPr>
          <w:p>
            <w:pPr>
              <w:spacing w:after="0"/>
              <w:rPr>
                <w:color w:val="auto"/>
                <w:sz w:val="5"/>
                <w:szCs w:val="5"/>
              </w:rPr>
            </w:pPr>
          </w:p>
        </w:tc>
        <w:tc>
          <w:tcPr>
            <w:tcW w:w="940" w:type="dxa"/>
            <w:vAlign w:val="bottom"/>
          </w:tcPr>
          <w:p>
            <w:pPr>
              <w:spacing w:after="0"/>
              <w:rPr>
                <w:color w:val="auto"/>
                <w:sz w:val="5"/>
                <w:szCs w:val="5"/>
              </w:rPr>
            </w:pPr>
          </w:p>
        </w:tc>
        <w:tc>
          <w:tcPr>
            <w:tcW w:w="1060" w:type="dxa"/>
            <w:tcBorders>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37" w:hRule="atLeast"/>
        </w:trPr>
        <w:tc>
          <w:tcPr>
            <w:tcW w:w="940" w:type="dxa"/>
            <w:tcBorders>
              <w:left w:val="single" w:color="auto" w:sz="8" w:space="0"/>
              <w:right w:val="single" w:color="auto" w:sz="8" w:space="0"/>
            </w:tcBorders>
            <w:vAlign w:val="bottom"/>
          </w:tcPr>
          <w:p>
            <w:pPr>
              <w:spacing w:after="0" w:line="274" w:lineRule="exact"/>
              <w:jc w:val="center"/>
              <w:rPr>
                <w:color w:val="auto"/>
                <w:sz w:val="20"/>
                <w:szCs w:val="20"/>
              </w:rPr>
            </w:pPr>
            <w:r>
              <w:rPr>
                <w:rFonts w:ascii="仿宋" w:hAnsi="仿宋" w:eastAsia="仿宋" w:cs="仿宋"/>
                <w:b/>
                <w:bCs/>
                <w:color w:val="auto"/>
                <w:w w:val="99"/>
                <w:sz w:val="24"/>
                <w:szCs w:val="24"/>
              </w:rPr>
              <w:t>级</w:t>
            </w:r>
          </w:p>
        </w:tc>
        <w:tc>
          <w:tcPr>
            <w:tcW w:w="7040" w:type="dxa"/>
            <w:gridSpan w:val="6"/>
            <w:vAlign w:val="bottom"/>
          </w:tcPr>
          <w:p>
            <w:pPr>
              <w:spacing w:after="0" w:line="274" w:lineRule="exact"/>
              <w:ind w:right="120"/>
              <w:jc w:val="right"/>
              <w:rPr>
                <w:color w:val="auto"/>
                <w:sz w:val="20"/>
                <w:szCs w:val="20"/>
              </w:rPr>
            </w:pPr>
            <w:r>
              <w:rPr>
                <w:rFonts w:ascii="仿宋" w:hAnsi="仿宋" w:eastAsia="仿宋" w:cs="仿宋"/>
                <w:color w:val="auto"/>
                <w:sz w:val="24"/>
                <w:szCs w:val="24"/>
              </w:rPr>
              <w:t>究生国家奖学金。现报请研究生国家奖学金评审领导小组审定。</w:t>
            </w:r>
          </w:p>
        </w:tc>
        <w:tc>
          <w:tcPr>
            <w:tcW w:w="940" w:type="dxa"/>
            <w:vAlign w:val="bottom"/>
          </w:tcPr>
          <w:p>
            <w:pPr>
              <w:spacing w:after="0"/>
              <w:rPr>
                <w:color w:val="auto"/>
                <w:sz w:val="24"/>
                <w:szCs w:val="24"/>
              </w:rPr>
            </w:pPr>
          </w:p>
        </w:tc>
        <w:tc>
          <w:tcPr>
            <w:tcW w:w="10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5" w:hRule="atLeast"/>
        </w:trPr>
        <w:tc>
          <w:tcPr>
            <w:tcW w:w="940" w:type="dxa"/>
            <w:tcBorders>
              <w:left w:val="single" w:color="auto" w:sz="8" w:space="0"/>
              <w:right w:val="single" w:color="auto" w:sz="8" w:space="0"/>
            </w:tcBorders>
            <w:vAlign w:val="bottom"/>
          </w:tcPr>
          <w:p>
            <w:pPr>
              <w:spacing w:after="0" w:line="274" w:lineRule="exact"/>
              <w:jc w:val="center"/>
              <w:rPr>
                <w:color w:val="auto"/>
                <w:sz w:val="20"/>
                <w:szCs w:val="20"/>
              </w:rPr>
            </w:pPr>
            <w:r>
              <w:rPr>
                <w:rFonts w:ascii="仿宋" w:hAnsi="仿宋" w:eastAsia="仿宋" w:cs="仿宋"/>
                <w:b/>
                <w:bCs/>
                <w:color w:val="auto"/>
                <w:w w:val="99"/>
                <w:sz w:val="24"/>
                <w:szCs w:val="24"/>
              </w:rPr>
              <w:t>单</w:t>
            </w:r>
          </w:p>
        </w:tc>
        <w:tc>
          <w:tcPr>
            <w:tcW w:w="318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2100" w:type="dxa"/>
            <w:vAlign w:val="bottom"/>
          </w:tcPr>
          <w:p>
            <w:pPr>
              <w:spacing w:after="0"/>
              <w:rPr>
                <w:color w:val="auto"/>
                <w:sz w:val="24"/>
                <w:szCs w:val="24"/>
              </w:rPr>
            </w:pPr>
          </w:p>
        </w:tc>
        <w:tc>
          <w:tcPr>
            <w:tcW w:w="800" w:type="dxa"/>
            <w:vAlign w:val="bottom"/>
          </w:tcPr>
          <w:p>
            <w:pPr>
              <w:spacing w:after="0"/>
              <w:rPr>
                <w:color w:val="auto"/>
                <w:sz w:val="24"/>
                <w:szCs w:val="24"/>
              </w:rPr>
            </w:pPr>
          </w:p>
        </w:tc>
        <w:tc>
          <w:tcPr>
            <w:tcW w:w="940" w:type="dxa"/>
            <w:vAlign w:val="bottom"/>
          </w:tcPr>
          <w:p>
            <w:pPr>
              <w:spacing w:after="0"/>
              <w:rPr>
                <w:color w:val="auto"/>
                <w:sz w:val="24"/>
                <w:szCs w:val="24"/>
              </w:rPr>
            </w:pPr>
          </w:p>
        </w:tc>
        <w:tc>
          <w:tcPr>
            <w:tcW w:w="10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32" w:hRule="atLeast"/>
        </w:trPr>
        <w:tc>
          <w:tcPr>
            <w:tcW w:w="940" w:type="dxa"/>
            <w:tcBorders>
              <w:left w:val="single" w:color="auto" w:sz="8" w:space="0"/>
              <w:right w:val="single" w:color="auto" w:sz="8" w:space="0"/>
            </w:tcBorders>
            <w:vAlign w:val="bottom"/>
          </w:tcPr>
          <w:p>
            <w:pPr>
              <w:spacing w:after="0" w:line="274" w:lineRule="exact"/>
              <w:jc w:val="center"/>
              <w:rPr>
                <w:color w:val="auto"/>
                <w:sz w:val="20"/>
                <w:szCs w:val="20"/>
              </w:rPr>
            </w:pPr>
            <w:r>
              <w:rPr>
                <w:rFonts w:ascii="仿宋" w:hAnsi="仿宋" w:eastAsia="仿宋" w:cs="仿宋"/>
                <w:b/>
                <w:bCs/>
                <w:color w:val="auto"/>
                <w:w w:val="99"/>
                <w:sz w:val="24"/>
                <w:szCs w:val="24"/>
              </w:rPr>
              <w:t>位</w:t>
            </w:r>
          </w:p>
        </w:tc>
        <w:tc>
          <w:tcPr>
            <w:tcW w:w="318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2100" w:type="dxa"/>
            <w:vAlign w:val="bottom"/>
          </w:tcPr>
          <w:p>
            <w:pPr>
              <w:spacing w:after="0"/>
              <w:rPr>
                <w:color w:val="auto"/>
                <w:sz w:val="24"/>
                <w:szCs w:val="24"/>
              </w:rPr>
            </w:pPr>
          </w:p>
        </w:tc>
        <w:tc>
          <w:tcPr>
            <w:tcW w:w="800" w:type="dxa"/>
            <w:vAlign w:val="bottom"/>
          </w:tcPr>
          <w:p>
            <w:pPr>
              <w:spacing w:after="0"/>
              <w:rPr>
                <w:color w:val="auto"/>
                <w:sz w:val="24"/>
                <w:szCs w:val="24"/>
              </w:rPr>
            </w:pPr>
          </w:p>
        </w:tc>
        <w:tc>
          <w:tcPr>
            <w:tcW w:w="940" w:type="dxa"/>
            <w:vAlign w:val="bottom"/>
          </w:tcPr>
          <w:p>
            <w:pPr>
              <w:spacing w:after="0"/>
              <w:rPr>
                <w:color w:val="auto"/>
                <w:sz w:val="24"/>
                <w:szCs w:val="24"/>
              </w:rPr>
            </w:pPr>
          </w:p>
        </w:tc>
        <w:tc>
          <w:tcPr>
            <w:tcW w:w="10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46" w:hRule="atLeast"/>
        </w:trPr>
        <w:tc>
          <w:tcPr>
            <w:tcW w:w="940" w:type="dxa"/>
            <w:vMerge w:val="restart"/>
            <w:tcBorders>
              <w:left w:val="single" w:color="auto" w:sz="8" w:space="0"/>
              <w:right w:val="single" w:color="auto" w:sz="8" w:space="0"/>
            </w:tcBorders>
            <w:vAlign w:val="bottom"/>
          </w:tcPr>
          <w:p>
            <w:pPr>
              <w:spacing w:after="0" w:line="274" w:lineRule="exact"/>
              <w:jc w:val="center"/>
              <w:rPr>
                <w:color w:val="auto"/>
                <w:sz w:val="20"/>
                <w:szCs w:val="20"/>
              </w:rPr>
            </w:pPr>
            <w:r>
              <w:rPr>
                <w:rFonts w:ascii="仿宋" w:hAnsi="仿宋" w:eastAsia="仿宋" w:cs="仿宋"/>
                <w:b/>
                <w:bCs/>
                <w:color w:val="auto"/>
                <w:w w:val="99"/>
                <w:sz w:val="24"/>
                <w:szCs w:val="24"/>
              </w:rPr>
              <w:t>意</w:t>
            </w:r>
          </w:p>
        </w:tc>
        <w:tc>
          <w:tcPr>
            <w:tcW w:w="318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3840" w:type="dxa"/>
            <w:gridSpan w:val="3"/>
            <w:vAlign w:val="bottom"/>
          </w:tcPr>
          <w:p>
            <w:pPr>
              <w:spacing w:after="0" w:line="274" w:lineRule="exact"/>
              <w:ind w:right="340"/>
              <w:jc w:val="right"/>
              <w:rPr>
                <w:color w:val="auto"/>
                <w:sz w:val="20"/>
                <w:szCs w:val="20"/>
              </w:rPr>
            </w:pPr>
            <w:r>
              <w:rPr>
                <w:rFonts w:ascii="仿宋" w:hAnsi="仿宋" w:eastAsia="仿宋" w:cs="仿宋"/>
                <w:color w:val="auto"/>
                <w:sz w:val="24"/>
                <w:szCs w:val="24"/>
              </w:rPr>
              <w:t>二级单位主管领导签名：</w:t>
            </w:r>
          </w:p>
        </w:tc>
        <w:tc>
          <w:tcPr>
            <w:tcW w:w="10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86" w:hRule="atLeast"/>
        </w:trPr>
        <w:tc>
          <w:tcPr>
            <w:tcW w:w="940" w:type="dxa"/>
            <w:vMerge w:val="continue"/>
            <w:tcBorders>
              <w:left w:val="single" w:color="auto" w:sz="8" w:space="0"/>
              <w:right w:val="single" w:color="auto" w:sz="8" w:space="0"/>
            </w:tcBorders>
            <w:vAlign w:val="bottom"/>
          </w:tcPr>
          <w:p>
            <w:pPr>
              <w:spacing w:after="0"/>
              <w:rPr>
                <w:color w:val="auto"/>
                <w:sz w:val="7"/>
                <w:szCs w:val="7"/>
              </w:rPr>
            </w:pPr>
          </w:p>
        </w:tc>
        <w:tc>
          <w:tcPr>
            <w:tcW w:w="3180" w:type="dxa"/>
            <w:vAlign w:val="bottom"/>
          </w:tcPr>
          <w:p>
            <w:pPr>
              <w:spacing w:after="0"/>
              <w:rPr>
                <w:color w:val="auto"/>
                <w:sz w:val="7"/>
                <w:szCs w:val="7"/>
              </w:rPr>
            </w:pPr>
          </w:p>
        </w:tc>
        <w:tc>
          <w:tcPr>
            <w:tcW w:w="240" w:type="dxa"/>
            <w:vAlign w:val="bottom"/>
          </w:tcPr>
          <w:p>
            <w:pPr>
              <w:spacing w:after="0"/>
              <w:rPr>
                <w:color w:val="auto"/>
                <w:sz w:val="7"/>
                <w:szCs w:val="7"/>
              </w:rPr>
            </w:pPr>
          </w:p>
        </w:tc>
        <w:tc>
          <w:tcPr>
            <w:tcW w:w="480" w:type="dxa"/>
            <w:vAlign w:val="bottom"/>
          </w:tcPr>
          <w:p>
            <w:pPr>
              <w:spacing w:after="0"/>
              <w:rPr>
                <w:color w:val="auto"/>
                <w:sz w:val="7"/>
                <w:szCs w:val="7"/>
              </w:rPr>
            </w:pPr>
          </w:p>
        </w:tc>
        <w:tc>
          <w:tcPr>
            <w:tcW w:w="240" w:type="dxa"/>
            <w:vAlign w:val="bottom"/>
          </w:tcPr>
          <w:p>
            <w:pPr>
              <w:spacing w:after="0"/>
              <w:rPr>
                <w:color w:val="auto"/>
                <w:sz w:val="7"/>
                <w:szCs w:val="7"/>
              </w:rPr>
            </w:pPr>
          </w:p>
        </w:tc>
        <w:tc>
          <w:tcPr>
            <w:tcW w:w="2100" w:type="dxa"/>
            <w:vAlign w:val="bottom"/>
          </w:tcPr>
          <w:p>
            <w:pPr>
              <w:spacing w:after="0"/>
              <w:rPr>
                <w:color w:val="auto"/>
                <w:sz w:val="7"/>
                <w:szCs w:val="7"/>
              </w:rPr>
            </w:pPr>
          </w:p>
        </w:tc>
        <w:tc>
          <w:tcPr>
            <w:tcW w:w="800" w:type="dxa"/>
            <w:vAlign w:val="bottom"/>
          </w:tcPr>
          <w:p>
            <w:pPr>
              <w:spacing w:after="0"/>
              <w:rPr>
                <w:color w:val="auto"/>
                <w:sz w:val="7"/>
                <w:szCs w:val="7"/>
              </w:rPr>
            </w:pPr>
          </w:p>
        </w:tc>
        <w:tc>
          <w:tcPr>
            <w:tcW w:w="940" w:type="dxa"/>
            <w:vAlign w:val="bottom"/>
          </w:tcPr>
          <w:p>
            <w:pPr>
              <w:spacing w:after="0"/>
              <w:rPr>
                <w:color w:val="auto"/>
                <w:sz w:val="7"/>
                <w:szCs w:val="7"/>
              </w:rPr>
            </w:pPr>
          </w:p>
        </w:tc>
        <w:tc>
          <w:tcPr>
            <w:tcW w:w="1060" w:type="dxa"/>
            <w:tcBorders>
              <w:right w:val="single" w:color="auto" w:sz="8" w:space="0"/>
            </w:tcBorders>
            <w:vAlign w:val="bottom"/>
          </w:tcPr>
          <w:p>
            <w:pPr>
              <w:spacing w:after="0"/>
              <w:rPr>
                <w:color w:val="auto"/>
                <w:sz w:val="7"/>
                <w:szCs w:val="7"/>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63" w:hRule="atLeast"/>
        </w:trPr>
        <w:tc>
          <w:tcPr>
            <w:tcW w:w="940" w:type="dxa"/>
            <w:tcBorders>
              <w:left w:val="single" w:color="auto" w:sz="8" w:space="0"/>
              <w:right w:val="single" w:color="auto" w:sz="8" w:space="0"/>
            </w:tcBorders>
            <w:vAlign w:val="bottom"/>
          </w:tcPr>
          <w:p>
            <w:pPr>
              <w:spacing w:after="0" w:line="274" w:lineRule="exact"/>
              <w:jc w:val="center"/>
              <w:rPr>
                <w:color w:val="auto"/>
                <w:sz w:val="20"/>
                <w:szCs w:val="20"/>
              </w:rPr>
            </w:pPr>
            <w:r>
              <w:rPr>
                <w:rFonts w:ascii="仿宋" w:hAnsi="仿宋" w:eastAsia="仿宋" w:cs="仿宋"/>
                <w:b/>
                <w:bCs/>
                <w:color w:val="auto"/>
                <w:w w:val="99"/>
                <w:sz w:val="24"/>
                <w:szCs w:val="24"/>
              </w:rPr>
              <w:t>见</w:t>
            </w:r>
          </w:p>
        </w:tc>
        <w:tc>
          <w:tcPr>
            <w:tcW w:w="318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3840" w:type="dxa"/>
            <w:gridSpan w:val="3"/>
            <w:vAlign w:val="bottom"/>
          </w:tcPr>
          <w:p>
            <w:pPr>
              <w:spacing w:after="0" w:line="274" w:lineRule="exact"/>
              <w:ind w:right="100"/>
              <w:jc w:val="right"/>
              <w:rPr>
                <w:color w:val="auto"/>
                <w:sz w:val="20"/>
                <w:szCs w:val="20"/>
              </w:rPr>
            </w:pPr>
            <w:r>
              <w:rPr>
                <w:rFonts w:ascii="仿宋" w:hAnsi="仿宋" w:eastAsia="仿宋" w:cs="仿宋"/>
                <w:color w:val="auto"/>
                <w:sz w:val="24"/>
                <w:szCs w:val="24"/>
              </w:rPr>
              <w:t>（二级单位公章）</w:t>
            </w:r>
          </w:p>
        </w:tc>
        <w:tc>
          <w:tcPr>
            <w:tcW w:w="10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2" w:hRule="atLeast"/>
        </w:trPr>
        <w:tc>
          <w:tcPr>
            <w:tcW w:w="940" w:type="dxa"/>
            <w:tcBorders>
              <w:left w:val="single" w:color="auto" w:sz="8" w:space="0"/>
              <w:right w:val="single" w:color="auto" w:sz="8" w:space="0"/>
            </w:tcBorders>
            <w:vAlign w:val="bottom"/>
          </w:tcPr>
          <w:p>
            <w:pPr>
              <w:spacing w:after="0"/>
              <w:rPr>
                <w:color w:val="auto"/>
                <w:sz w:val="24"/>
                <w:szCs w:val="24"/>
              </w:rPr>
            </w:pPr>
          </w:p>
        </w:tc>
        <w:tc>
          <w:tcPr>
            <w:tcW w:w="318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2100" w:type="dxa"/>
            <w:vAlign w:val="bottom"/>
          </w:tcPr>
          <w:p>
            <w:pPr>
              <w:spacing w:after="0" w:line="274" w:lineRule="exact"/>
              <w:ind w:left="1580"/>
              <w:rPr>
                <w:color w:val="auto"/>
                <w:sz w:val="20"/>
                <w:szCs w:val="20"/>
              </w:rPr>
            </w:pPr>
            <w:r>
              <w:rPr>
                <w:rFonts w:ascii="仿宋" w:hAnsi="仿宋" w:eastAsia="仿宋" w:cs="仿宋"/>
                <w:color w:val="auto"/>
                <w:sz w:val="24"/>
                <w:szCs w:val="24"/>
              </w:rPr>
              <w:t>年</w:t>
            </w:r>
          </w:p>
        </w:tc>
        <w:tc>
          <w:tcPr>
            <w:tcW w:w="800" w:type="dxa"/>
            <w:vAlign w:val="bottom"/>
          </w:tcPr>
          <w:p>
            <w:pPr>
              <w:spacing w:after="0" w:line="274" w:lineRule="exact"/>
              <w:ind w:right="120"/>
              <w:jc w:val="right"/>
              <w:rPr>
                <w:color w:val="auto"/>
                <w:sz w:val="20"/>
                <w:szCs w:val="20"/>
              </w:rPr>
            </w:pPr>
            <w:r>
              <w:rPr>
                <w:rFonts w:ascii="仿宋" w:hAnsi="仿宋" w:eastAsia="仿宋" w:cs="仿宋"/>
                <w:color w:val="auto"/>
                <w:sz w:val="24"/>
                <w:szCs w:val="24"/>
              </w:rPr>
              <w:t>月</w:t>
            </w:r>
          </w:p>
        </w:tc>
        <w:tc>
          <w:tcPr>
            <w:tcW w:w="940" w:type="dxa"/>
            <w:vAlign w:val="bottom"/>
          </w:tcPr>
          <w:p>
            <w:pPr>
              <w:spacing w:after="0" w:line="274" w:lineRule="exact"/>
              <w:ind w:left="360"/>
              <w:rPr>
                <w:color w:val="auto"/>
                <w:sz w:val="20"/>
                <w:szCs w:val="20"/>
              </w:rPr>
            </w:pPr>
            <w:r>
              <w:rPr>
                <w:rFonts w:ascii="仿宋" w:hAnsi="仿宋" w:eastAsia="仿宋" w:cs="仿宋"/>
                <w:color w:val="auto"/>
                <w:sz w:val="24"/>
                <w:szCs w:val="24"/>
              </w:rPr>
              <w:t>日</w:t>
            </w:r>
          </w:p>
        </w:tc>
        <w:tc>
          <w:tcPr>
            <w:tcW w:w="10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 w:hRule="atLeast"/>
        </w:trPr>
        <w:tc>
          <w:tcPr>
            <w:tcW w:w="940" w:type="dxa"/>
            <w:tcBorders>
              <w:left w:val="single" w:color="auto" w:sz="8" w:space="0"/>
              <w:bottom w:val="single" w:color="auto" w:sz="8" w:space="0"/>
              <w:right w:val="single" w:color="auto" w:sz="8" w:space="0"/>
            </w:tcBorders>
            <w:vAlign w:val="bottom"/>
          </w:tcPr>
          <w:p>
            <w:pPr>
              <w:spacing w:after="0"/>
              <w:rPr>
                <w:color w:val="auto"/>
                <w:sz w:val="2"/>
                <w:szCs w:val="2"/>
              </w:rPr>
            </w:pPr>
          </w:p>
        </w:tc>
        <w:tc>
          <w:tcPr>
            <w:tcW w:w="3900" w:type="dxa"/>
            <w:gridSpan w:val="3"/>
            <w:tcBorders>
              <w:bottom w:val="single" w:color="auto" w:sz="8" w:space="0"/>
            </w:tcBorders>
            <w:vAlign w:val="bottom"/>
          </w:tcPr>
          <w:p>
            <w:pPr>
              <w:spacing w:after="0"/>
              <w:rPr>
                <w:color w:val="auto"/>
                <w:sz w:val="2"/>
                <w:szCs w:val="2"/>
              </w:rPr>
            </w:pPr>
          </w:p>
        </w:tc>
        <w:tc>
          <w:tcPr>
            <w:tcW w:w="5140" w:type="dxa"/>
            <w:gridSpan w:val="5"/>
            <w:tcBorders>
              <w:bottom w:val="single" w:color="auto" w:sz="8" w:space="0"/>
              <w:right w:val="single" w:color="auto" w:sz="8" w:space="0"/>
            </w:tcBorders>
            <w:vAlign w:val="bottom"/>
          </w:tcPr>
          <w:p>
            <w:pPr>
              <w:spacing w:after="0"/>
              <w:rPr>
                <w:color w:val="auto"/>
                <w:sz w:val="2"/>
                <w:szCs w:val="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254" w:hRule="atLeast"/>
        </w:trPr>
        <w:tc>
          <w:tcPr>
            <w:tcW w:w="940" w:type="dxa"/>
            <w:vMerge w:val="restart"/>
            <w:tcBorders>
              <w:left w:val="single" w:color="auto" w:sz="8" w:space="0"/>
              <w:right w:val="single" w:color="auto" w:sz="8" w:space="0"/>
            </w:tcBorders>
            <w:vAlign w:val="bottom"/>
          </w:tcPr>
          <w:p>
            <w:pPr>
              <w:spacing w:after="0" w:line="274" w:lineRule="exact"/>
              <w:jc w:val="center"/>
              <w:rPr>
                <w:color w:val="auto"/>
                <w:sz w:val="20"/>
                <w:szCs w:val="20"/>
              </w:rPr>
            </w:pPr>
            <w:r>
              <w:rPr>
                <w:rFonts w:ascii="仿宋" w:hAnsi="仿宋" w:eastAsia="仿宋" w:cs="仿宋"/>
                <w:b/>
                <w:bCs/>
                <w:color w:val="auto"/>
                <w:w w:val="99"/>
                <w:sz w:val="24"/>
                <w:szCs w:val="24"/>
              </w:rPr>
              <w:t>学</w:t>
            </w:r>
          </w:p>
        </w:tc>
        <w:tc>
          <w:tcPr>
            <w:tcW w:w="3900" w:type="dxa"/>
            <w:gridSpan w:val="3"/>
            <w:vAlign w:val="bottom"/>
          </w:tcPr>
          <w:p>
            <w:pPr>
              <w:spacing w:after="0" w:line="274" w:lineRule="exact"/>
              <w:ind w:left="560"/>
              <w:rPr>
                <w:color w:val="auto"/>
                <w:sz w:val="20"/>
                <w:szCs w:val="20"/>
              </w:rPr>
            </w:pPr>
            <w:r>
              <w:rPr>
                <w:rFonts w:ascii="仿宋" w:hAnsi="仿宋" w:eastAsia="仿宋" w:cs="仿宋"/>
                <w:color w:val="auto"/>
                <w:sz w:val="24"/>
                <w:szCs w:val="24"/>
              </w:rPr>
              <w:t>经审核，并在本单位公示</w:t>
            </w:r>
          </w:p>
        </w:tc>
        <w:tc>
          <w:tcPr>
            <w:tcW w:w="5140" w:type="dxa"/>
            <w:gridSpan w:val="5"/>
            <w:tcBorders>
              <w:right w:val="single" w:color="auto" w:sz="8" w:space="0"/>
            </w:tcBorders>
            <w:vAlign w:val="bottom"/>
          </w:tcPr>
          <w:p>
            <w:pPr>
              <w:spacing w:after="0" w:line="274" w:lineRule="exact"/>
              <w:jc w:val="right"/>
              <w:rPr>
                <w:color w:val="auto"/>
                <w:sz w:val="20"/>
                <w:szCs w:val="20"/>
              </w:rPr>
            </w:pPr>
            <w:r>
              <w:rPr>
                <w:rFonts w:ascii="仿宋" w:hAnsi="仿宋" w:eastAsia="仿宋" w:cs="仿宋"/>
                <w:color w:val="auto"/>
                <w:w w:val="99"/>
                <w:sz w:val="24"/>
                <w:szCs w:val="24"/>
              </w:rPr>
              <w:t>个工作日，无异议，现批准该同学获得研究生国</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9" w:hRule="atLeast"/>
        </w:trPr>
        <w:tc>
          <w:tcPr>
            <w:tcW w:w="940" w:type="dxa"/>
            <w:vMerge w:val="continue"/>
            <w:tcBorders>
              <w:left w:val="single" w:color="auto" w:sz="8" w:space="0"/>
              <w:right w:val="single" w:color="auto" w:sz="8" w:space="0"/>
            </w:tcBorders>
            <w:vAlign w:val="bottom"/>
          </w:tcPr>
          <w:p>
            <w:pPr>
              <w:spacing w:after="0"/>
              <w:rPr>
                <w:color w:val="auto"/>
                <w:sz w:val="15"/>
                <w:szCs w:val="15"/>
              </w:rPr>
            </w:pPr>
          </w:p>
        </w:tc>
        <w:tc>
          <w:tcPr>
            <w:tcW w:w="3180" w:type="dxa"/>
            <w:vMerge w:val="restart"/>
            <w:vAlign w:val="bottom"/>
          </w:tcPr>
          <w:p>
            <w:pPr>
              <w:spacing w:after="0" w:line="274" w:lineRule="exact"/>
              <w:ind w:left="80"/>
              <w:rPr>
                <w:color w:val="auto"/>
                <w:sz w:val="20"/>
                <w:szCs w:val="20"/>
              </w:rPr>
            </w:pPr>
            <w:r>
              <w:rPr>
                <w:rFonts w:ascii="仿宋" w:hAnsi="仿宋" w:eastAsia="仿宋" w:cs="仿宋"/>
                <w:color w:val="auto"/>
                <w:sz w:val="24"/>
                <w:szCs w:val="24"/>
              </w:rPr>
              <w:t>家奖学金。</w:t>
            </w:r>
          </w:p>
        </w:tc>
        <w:tc>
          <w:tcPr>
            <w:tcW w:w="720" w:type="dxa"/>
            <w:gridSpan w:val="2"/>
            <w:vMerge w:val="restart"/>
            <w:tcBorders>
              <w:top w:val="single" w:color="auto" w:sz="8" w:space="0"/>
            </w:tcBorders>
            <w:vAlign w:val="bottom"/>
          </w:tcPr>
          <w:p>
            <w:pPr>
              <w:spacing w:after="0"/>
              <w:rPr>
                <w:color w:val="auto"/>
                <w:sz w:val="15"/>
                <w:szCs w:val="15"/>
              </w:rPr>
            </w:pPr>
          </w:p>
        </w:tc>
        <w:tc>
          <w:tcPr>
            <w:tcW w:w="240" w:type="dxa"/>
            <w:vAlign w:val="bottom"/>
          </w:tcPr>
          <w:p>
            <w:pPr>
              <w:spacing w:after="0"/>
              <w:rPr>
                <w:color w:val="auto"/>
                <w:sz w:val="15"/>
                <w:szCs w:val="15"/>
              </w:rPr>
            </w:pPr>
          </w:p>
        </w:tc>
        <w:tc>
          <w:tcPr>
            <w:tcW w:w="2100" w:type="dxa"/>
            <w:vAlign w:val="bottom"/>
          </w:tcPr>
          <w:p>
            <w:pPr>
              <w:spacing w:after="0"/>
              <w:rPr>
                <w:color w:val="auto"/>
                <w:sz w:val="15"/>
                <w:szCs w:val="15"/>
              </w:rPr>
            </w:pPr>
          </w:p>
        </w:tc>
        <w:tc>
          <w:tcPr>
            <w:tcW w:w="800" w:type="dxa"/>
            <w:vAlign w:val="bottom"/>
          </w:tcPr>
          <w:p>
            <w:pPr>
              <w:spacing w:after="0"/>
              <w:rPr>
                <w:color w:val="auto"/>
                <w:sz w:val="15"/>
                <w:szCs w:val="15"/>
              </w:rPr>
            </w:pPr>
          </w:p>
        </w:tc>
        <w:tc>
          <w:tcPr>
            <w:tcW w:w="940" w:type="dxa"/>
            <w:vAlign w:val="bottom"/>
          </w:tcPr>
          <w:p>
            <w:pPr>
              <w:spacing w:after="0"/>
              <w:rPr>
                <w:color w:val="auto"/>
                <w:sz w:val="15"/>
                <w:szCs w:val="15"/>
              </w:rPr>
            </w:pPr>
          </w:p>
        </w:tc>
        <w:tc>
          <w:tcPr>
            <w:tcW w:w="1060" w:type="dxa"/>
            <w:tcBorders>
              <w:right w:val="single" w:color="auto" w:sz="8" w:space="0"/>
            </w:tcBorders>
            <w:vAlign w:val="bottom"/>
          </w:tcPr>
          <w:p>
            <w:pPr>
              <w:spacing w:after="0"/>
              <w:rPr>
                <w:color w:val="auto"/>
                <w:sz w:val="15"/>
                <w:szCs w:val="1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9" w:hRule="atLeast"/>
        </w:trPr>
        <w:tc>
          <w:tcPr>
            <w:tcW w:w="940" w:type="dxa"/>
            <w:vMerge w:val="restart"/>
            <w:tcBorders>
              <w:left w:val="single" w:color="auto" w:sz="8" w:space="0"/>
              <w:right w:val="single" w:color="auto" w:sz="8" w:space="0"/>
            </w:tcBorders>
            <w:vAlign w:val="bottom"/>
          </w:tcPr>
          <w:p>
            <w:pPr>
              <w:spacing w:after="0" w:line="274" w:lineRule="exact"/>
              <w:jc w:val="center"/>
              <w:rPr>
                <w:color w:val="auto"/>
                <w:sz w:val="20"/>
                <w:szCs w:val="20"/>
              </w:rPr>
            </w:pPr>
            <w:r>
              <w:rPr>
                <w:rFonts w:ascii="仿宋" w:hAnsi="仿宋" w:eastAsia="仿宋" w:cs="仿宋"/>
                <w:b/>
                <w:bCs/>
                <w:color w:val="auto"/>
                <w:w w:val="99"/>
                <w:sz w:val="24"/>
                <w:szCs w:val="24"/>
              </w:rPr>
              <w:t>校</w:t>
            </w:r>
          </w:p>
        </w:tc>
        <w:tc>
          <w:tcPr>
            <w:tcW w:w="3180" w:type="dxa"/>
            <w:vMerge w:val="continue"/>
            <w:vAlign w:val="bottom"/>
          </w:tcPr>
          <w:p>
            <w:pPr>
              <w:spacing w:after="0"/>
              <w:rPr>
                <w:color w:val="auto"/>
                <w:sz w:val="24"/>
                <w:szCs w:val="24"/>
              </w:rPr>
            </w:pPr>
          </w:p>
        </w:tc>
        <w:tc>
          <w:tcPr>
            <w:tcW w:w="720" w:type="dxa"/>
            <w:gridSpan w:val="2"/>
            <w:vMerge w:val="continue"/>
            <w:vAlign w:val="bottom"/>
          </w:tcPr>
          <w:p>
            <w:pPr>
              <w:spacing w:after="0"/>
              <w:rPr>
                <w:color w:val="auto"/>
                <w:sz w:val="24"/>
                <w:szCs w:val="24"/>
              </w:rPr>
            </w:pPr>
          </w:p>
        </w:tc>
        <w:tc>
          <w:tcPr>
            <w:tcW w:w="240" w:type="dxa"/>
            <w:vAlign w:val="bottom"/>
          </w:tcPr>
          <w:p>
            <w:pPr>
              <w:spacing w:after="0"/>
              <w:rPr>
                <w:color w:val="auto"/>
                <w:sz w:val="24"/>
                <w:szCs w:val="24"/>
              </w:rPr>
            </w:pPr>
          </w:p>
        </w:tc>
        <w:tc>
          <w:tcPr>
            <w:tcW w:w="2100" w:type="dxa"/>
            <w:vAlign w:val="bottom"/>
          </w:tcPr>
          <w:p>
            <w:pPr>
              <w:spacing w:after="0"/>
              <w:rPr>
                <w:color w:val="auto"/>
                <w:sz w:val="24"/>
                <w:szCs w:val="24"/>
              </w:rPr>
            </w:pPr>
          </w:p>
        </w:tc>
        <w:tc>
          <w:tcPr>
            <w:tcW w:w="800" w:type="dxa"/>
            <w:vAlign w:val="bottom"/>
          </w:tcPr>
          <w:p>
            <w:pPr>
              <w:spacing w:after="0"/>
              <w:rPr>
                <w:color w:val="auto"/>
                <w:sz w:val="24"/>
                <w:szCs w:val="24"/>
              </w:rPr>
            </w:pPr>
          </w:p>
        </w:tc>
        <w:tc>
          <w:tcPr>
            <w:tcW w:w="940" w:type="dxa"/>
            <w:vAlign w:val="bottom"/>
          </w:tcPr>
          <w:p>
            <w:pPr>
              <w:spacing w:after="0"/>
              <w:rPr>
                <w:color w:val="auto"/>
                <w:sz w:val="24"/>
                <w:szCs w:val="24"/>
              </w:rPr>
            </w:pPr>
          </w:p>
        </w:tc>
        <w:tc>
          <w:tcPr>
            <w:tcW w:w="10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2" w:hRule="atLeast"/>
        </w:trPr>
        <w:tc>
          <w:tcPr>
            <w:tcW w:w="940" w:type="dxa"/>
            <w:vMerge w:val="continue"/>
            <w:tcBorders>
              <w:left w:val="single" w:color="auto" w:sz="8" w:space="0"/>
              <w:right w:val="single" w:color="auto" w:sz="8" w:space="0"/>
            </w:tcBorders>
            <w:vAlign w:val="bottom"/>
          </w:tcPr>
          <w:p>
            <w:pPr>
              <w:spacing w:after="0"/>
              <w:rPr>
                <w:color w:val="auto"/>
                <w:sz w:val="17"/>
                <w:szCs w:val="17"/>
              </w:rPr>
            </w:pPr>
          </w:p>
        </w:tc>
        <w:tc>
          <w:tcPr>
            <w:tcW w:w="3180" w:type="dxa"/>
            <w:vAlign w:val="bottom"/>
          </w:tcPr>
          <w:p>
            <w:pPr>
              <w:spacing w:after="0"/>
              <w:rPr>
                <w:color w:val="auto"/>
                <w:sz w:val="17"/>
                <w:szCs w:val="17"/>
              </w:rPr>
            </w:pPr>
          </w:p>
        </w:tc>
        <w:tc>
          <w:tcPr>
            <w:tcW w:w="240" w:type="dxa"/>
            <w:vAlign w:val="bottom"/>
          </w:tcPr>
          <w:p>
            <w:pPr>
              <w:spacing w:after="0"/>
              <w:rPr>
                <w:color w:val="auto"/>
                <w:sz w:val="17"/>
                <w:szCs w:val="17"/>
              </w:rPr>
            </w:pPr>
          </w:p>
        </w:tc>
        <w:tc>
          <w:tcPr>
            <w:tcW w:w="480" w:type="dxa"/>
            <w:vAlign w:val="bottom"/>
          </w:tcPr>
          <w:p>
            <w:pPr>
              <w:spacing w:after="0"/>
              <w:rPr>
                <w:color w:val="auto"/>
                <w:sz w:val="17"/>
                <w:szCs w:val="17"/>
              </w:rPr>
            </w:pPr>
          </w:p>
        </w:tc>
        <w:tc>
          <w:tcPr>
            <w:tcW w:w="240" w:type="dxa"/>
            <w:vAlign w:val="bottom"/>
          </w:tcPr>
          <w:p>
            <w:pPr>
              <w:spacing w:after="0"/>
              <w:rPr>
                <w:color w:val="auto"/>
                <w:sz w:val="17"/>
                <w:szCs w:val="17"/>
              </w:rPr>
            </w:pPr>
          </w:p>
        </w:tc>
        <w:tc>
          <w:tcPr>
            <w:tcW w:w="2100" w:type="dxa"/>
            <w:vAlign w:val="bottom"/>
          </w:tcPr>
          <w:p>
            <w:pPr>
              <w:spacing w:after="0"/>
              <w:rPr>
                <w:color w:val="auto"/>
                <w:sz w:val="17"/>
                <w:szCs w:val="17"/>
              </w:rPr>
            </w:pPr>
          </w:p>
        </w:tc>
        <w:tc>
          <w:tcPr>
            <w:tcW w:w="800" w:type="dxa"/>
            <w:vAlign w:val="bottom"/>
          </w:tcPr>
          <w:p>
            <w:pPr>
              <w:spacing w:after="0"/>
              <w:rPr>
                <w:color w:val="auto"/>
                <w:sz w:val="17"/>
                <w:szCs w:val="17"/>
              </w:rPr>
            </w:pPr>
          </w:p>
        </w:tc>
        <w:tc>
          <w:tcPr>
            <w:tcW w:w="940" w:type="dxa"/>
            <w:vAlign w:val="bottom"/>
          </w:tcPr>
          <w:p>
            <w:pPr>
              <w:spacing w:after="0"/>
              <w:rPr>
                <w:color w:val="auto"/>
                <w:sz w:val="17"/>
                <w:szCs w:val="17"/>
              </w:rPr>
            </w:pPr>
          </w:p>
        </w:tc>
        <w:tc>
          <w:tcPr>
            <w:tcW w:w="1060" w:type="dxa"/>
            <w:tcBorders>
              <w:right w:val="single" w:color="auto" w:sz="8" w:space="0"/>
            </w:tcBorders>
            <w:vAlign w:val="bottom"/>
          </w:tcPr>
          <w:p>
            <w:pPr>
              <w:spacing w:after="0"/>
              <w:rPr>
                <w:color w:val="auto"/>
                <w:sz w:val="17"/>
                <w:szCs w:val="17"/>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21" w:hRule="atLeast"/>
        </w:trPr>
        <w:tc>
          <w:tcPr>
            <w:tcW w:w="940" w:type="dxa"/>
            <w:tcBorders>
              <w:left w:val="single" w:color="auto" w:sz="8" w:space="0"/>
              <w:right w:val="single" w:color="auto" w:sz="8" w:space="0"/>
            </w:tcBorders>
            <w:vAlign w:val="bottom"/>
          </w:tcPr>
          <w:p>
            <w:pPr>
              <w:spacing w:after="0" w:line="274" w:lineRule="exact"/>
              <w:jc w:val="center"/>
              <w:rPr>
                <w:color w:val="auto"/>
                <w:sz w:val="20"/>
                <w:szCs w:val="20"/>
              </w:rPr>
            </w:pPr>
            <w:r>
              <w:rPr>
                <w:rFonts w:ascii="仿宋" w:hAnsi="仿宋" w:eastAsia="仿宋" w:cs="仿宋"/>
                <w:b/>
                <w:bCs/>
                <w:color w:val="auto"/>
                <w:w w:val="99"/>
                <w:sz w:val="24"/>
                <w:szCs w:val="24"/>
              </w:rPr>
              <w:t>意</w:t>
            </w:r>
          </w:p>
        </w:tc>
        <w:tc>
          <w:tcPr>
            <w:tcW w:w="318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2100" w:type="dxa"/>
            <w:vAlign w:val="bottom"/>
          </w:tcPr>
          <w:p>
            <w:pPr>
              <w:spacing w:after="0"/>
              <w:rPr>
                <w:color w:val="auto"/>
                <w:sz w:val="24"/>
                <w:szCs w:val="24"/>
              </w:rPr>
            </w:pPr>
          </w:p>
        </w:tc>
        <w:tc>
          <w:tcPr>
            <w:tcW w:w="800" w:type="dxa"/>
            <w:vAlign w:val="bottom"/>
          </w:tcPr>
          <w:p>
            <w:pPr>
              <w:spacing w:after="0"/>
              <w:rPr>
                <w:color w:val="auto"/>
                <w:sz w:val="24"/>
                <w:szCs w:val="24"/>
              </w:rPr>
            </w:pPr>
          </w:p>
        </w:tc>
        <w:tc>
          <w:tcPr>
            <w:tcW w:w="940" w:type="dxa"/>
            <w:vAlign w:val="bottom"/>
          </w:tcPr>
          <w:p>
            <w:pPr>
              <w:spacing w:after="0"/>
              <w:rPr>
                <w:color w:val="auto"/>
                <w:sz w:val="24"/>
                <w:szCs w:val="24"/>
              </w:rPr>
            </w:pPr>
          </w:p>
        </w:tc>
        <w:tc>
          <w:tcPr>
            <w:tcW w:w="10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18" w:hRule="atLeast"/>
        </w:trPr>
        <w:tc>
          <w:tcPr>
            <w:tcW w:w="940" w:type="dxa"/>
            <w:tcBorders>
              <w:left w:val="single" w:color="auto" w:sz="8" w:space="0"/>
              <w:right w:val="single" w:color="auto" w:sz="8" w:space="0"/>
            </w:tcBorders>
            <w:vAlign w:val="bottom"/>
          </w:tcPr>
          <w:p>
            <w:pPr>
              <w:spacing w:after="0" w:line="274" w:lineRule="exact"/>
              <w:jc w:val="center"/>
              <w:rPr>
                <w:color w:val="auto"/>
                <w:sz w:val="20"/>
                <w:szCs w:val="20"/>
              </w:rPr>
            </w:pPr>
            <w:r>
              <w:rPr>
                <w:rFonts w:ascii="仿宋" w:hAnsi="仿宋" w:eastAsia="仿宋" w:cs="仿宋"/>
                <w:b/>
                <w:bCs/>
                <w:color w:val="auto"/>
                <w:w w:val="99"/>
                <w:sz w:val="24"/>
                <w:szCs w:val="24"/>
              </w:rPr>
              <w:t>见</w:t>
            </w:r>
          </w:p>
        </w:tc>
        <w:tc>
          <w:tcPr>
            <w:tcW w:w="318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3840" w:type="dxa"/>
            <w:gridSpan w:val="3"/>
            <w:vAlign w:val="bottom"/>
          </w:tcPr>
          <w:p>
            <w:pPr>
              <w:spacing w:after="0" w:line="274" w:lineRule="exact"/>
              <w:ind w:right="400"/>
              <w:jc w:val="right"/>
              <w:rPr>
                <w:color w:val="auto"/>
                <w:sz w:val="20"/>
                <w:szCs w:val="20"/>
              </w:rPr>
            </w:pPr>
            <w:r>
              <w:rPr>
                <w:rFonts w:ascii="仿宋" w:hAnsi="仿宋" w:eastAsia="仿宋" w:cs="仿宋"/>
                <w:color w:val="auto"/>
                <w:sz w:val="24"/>
                <w:szCs w:val="24"/>
              </w:rPr>
              <w:t>（培养单位公章）</w:t>
            </w:r>
          </w:p>
        </w:tc>
        <w:tc>
          <w:tcPr>
            <w:tcW w:w="10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91" w:hRule="atLeast"/>
        </w:trPr>
        <w:tc>
          <w:tcPr>
            <w:tcW w:w="940" w:type="dxa"/>
            <w:tcBorders>
              <w:left w:val="single" w:color="auto" w:sz="8" w:space="0"/>
              <w:right w:val="single" w:color="auto" w:sz="8" w:space="0"/>
            </w:tcBorders>
            <w:vAlign w:val="bottom"/>
          </w:tcPr>
          <w:p>
            <w:pPr>
              <w:spacing w:after="0"/>
              <w:rPr>
                <w:color w:val="auto"/>
                <w:sz w:val="24"/>
                <w:szCs w:val="24"/>
              </w:rPr>
            </w:pPr>
          </w:p>
        </w:tc>
        <w:tc>
          <w:tcPr>
            <w:tcW w:w="318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2100" w:type="dxa"/>
            <w:vAlign w:val="bottom"/>
          </w:tcPr>
          <w:p>
            <w:pPr>
              <w:spacing w:after="0" w:line="274" w:lineRule="exact"/>
              <w:ind w:left="1580"/>
              <w:rPr>
                <w:color w:val="auto"/>
                <w:sz w:val="20"/>
                <w:szCs w:val="20"/>
              </w:rPr>
            </w:pPr>
            <w:r>
              <w:rPr>
                <w:rFonts w:ascii="仿宋" w:hAnsi="仿宋" w:eastAsia="仿宋" w:cs="仿宋"/>
                <w:color w:val="auto"/>
                <w:sz w:val="24"/>
                <w:szCs w:val="24"/>
              </w:rPr>
              <w:t>年</w:t>
            </w:r>
          </w:p>
        </w:tc>
        <w:tc>
          <w:tcPr>
            <w:tcW w:w="800" w:type="dxa"/>
            <w:vAlign w:val="bottom"/>
          </w:tcPr>
          <w:p>
            <w:pPr>
              <w:spacing w:after="0" w:line="274" w:lineRule="exact"/>
              <w:ind w:right="120"/>
              <w:jc w:val="right"/>
              <w:rPr>
                <w:color w:val="auto"/>
                <w:sz w:val="20"/>
                <w:szCs w:val="20"/>
              </w:rPr>
            </w:pPr>
            <w:r>
              <w:rPr>
                <w:rFonts w:ascii="仿宋" w:hAnsi="仿宋" w:eastAsia="仿宋" w:cs="仿宋"/>
                <w:color w:val="auto"/>
                <w:sz w:val="24"/>
                <w:szCs w:val="24"/>
              </w:rPr>
              <w:t>月</w:t>
            </w:r>
          </w:p>
        </w:tc>
        <w:tc>
          <w:tcPr>
            <w:tcW w:w="940" w:type="dxa"/>
            <w:vAlign w:val="bottom"/>
          </w:tcPr>
          <w:p>
            <w:pPr>
              <w:spacing w:after="0" w:line="274" w:lineRule="exact"/>
              <w:ind w:left="240"/>
              <w:rPr>
                <w:color w:val="auto"/>
                <w:sz w:val="20"/>
                <w:szCs w:val="20"/>
              </w:rPr>
            </w:pPr>
            <w:r>
              <w:rPr>
                <w:rFonts w:ascii="仿宋" w:hAnsi="仿宋" w:eastAsia="仿宋" w:cs="仿宋"/>
                <w:color w:val="auto"/>
                <w:sz w:val="24"/>
                <w:szCs w:val="24"/>
              </w:rPr>
              <w:t>日</w:t>
            </w:r>
          </w:p>
        </w:tc>
        <w:tc>
          <w:tcPr>
            <w:tcW w:w="10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57" w:hRule="atLeast"/>
        </w:trPr>
        <w:tc>
          <w:tcPr>
            <w:tcW w:w="9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3180" w:type="dxa"/>
            <w:tcBorders>
              <w:bottom w:val="single" w:color="auto" w:sz="8" w:space="0"/>
            </w:tcBorders>
            <w:vAlign w:val="bottom"/>
          </w:tcPr>
          <w:p>
            <w:pPr>
              <w:spacing w:after="0"/>
              <w:rPr>
                <w:color w:val="auto"/>
                <w:sz w:val="24"/>
                <w:szCs w:val="24"/>
              </w:rPr>
            </w:pPr>
          </w:p>
        </w:tc>
        <w:tc>
          <w:tcPr>
            <w:tcW w:w="240" w:type="dxa"/>
            <w:tcBorders>
              <w:bottom w:val="single" w:color="auto" w:sz="8" w:space="0"/>
            </w:tcBorders>
            <w:vAlign w:val="bottom"/>
          </w:tcPr>
          <w:p>
            <w:pPr>
              <w:spacing w:after="0"/>
              <w:rPr>
                <w:color w:val="auto"/>
                <w:sz w:val="24"/>
                <w:szCs w:val="24"/>
              </w:rPr>
            </w:pPr>
          </w:p>
        </w:tc>
        <w:tc>
          <w:tcPr>
            <w:tcW w:w="480" w:type="dxa"/>
            <w:tcBorders>
              <w:bottom w:val="single" w:color="auto" w:sz="8" w:space="0"/>
            </w:tcBorders>
            <w:vAlign w:val="bottom"/>
          </w:tcPr>
          <w:p>
            <w:pPr>
              <w:spacing w:after="0"/>
              <w:rPr>
                <w:color w:val="auto"/>
                <w:sz w:val="24"/>
                <w:szCs w:val="24"/>
              </w:rPr>
            </w:pPr>
          </w:p>
        </w:tc>
        <w:tc>
          <w:tcPr>
            <w:tcW w:w="240" w:type="dxa"/>
            <w:tcBorders>
              <w:bottom w:val="single" w:color="auto" w:sz="8" w:space="0"/>
            </w:tcBorders>
            <w:vAlign w:val="bottom"/>
          </w:tcPr>
          <w:p>
            <w:pPr>
              <w:spacing w:after="0"/>
              <w:rPr>
                <w:color w:val="auto"/>
                <w:sz w:val="24"/>
                <w:szCs w:val="24"/>
              </w:rPr>
            </w:pPr>
          </w:p>
        </w:tc>
        <w:tc>
          <w:tcPr>
            <w:tcW w:w="2100" w:type="dxa"/>
            <w:tcBorders>
              <w:bottom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06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ectPr>
          <w:pgSz w:w="11900" w:h="16838"/>
          <w:pgMar w:top="1440" w:right="1066" w:bottom="463" w:left="880" w:header="0" w:footer="0" w:gutter="0"/>
          <w:cols w:equalWidth="0" w:num="1">
            <w:col w:w="9960"/>
          </w:cols>
        </w:sectPr>
      </w:pPr>
    </w:p>
    <w:p>
      <w:pPr>
        <w:spacing w:after="0" w:line="200" w:lineRule="exact"/>
        <w:rPr>
          <w:color w:val="auto"/>
          <w:sz w:val="20"/>
          <w:szCs w:val="20"/>
        </w:rPr>
      </w:pPr>
    </w:p>
    <w:p>
      <w:pPr>
        <w:spacing w:after="0" w:line="353" w:lineRule="exact"/>
        <w:rPr>
          <w:color w:val="auto"/>
          <w:sz w:val="20"/>
          <w:szCs w:val="20"/>
        </w:rPr>
      </w:pPr>
    </w:p>
    <w:p>
      <w:pPr>
        <w:spacing w:after="0" w:line="274" w:lineRule="exact"/>
        <w:ind w:left="760"/>
        <w:rPr>
          <w:color w:val="auto"/>
          <w:sz w:val="20"/>
          <w:szCs w:val="20"/>
        </w:rPr>
      </w:pPr>
      <w:r>
        <w:rPr>
          <w:rFonts w:ascii="宋体" w:hAnsi="宋体" w:eastAsia="宋体" w:cs="宋体"/>
          <w:color w:val="auto"/>
          <w:sz w:val="24"/>
          <w:szCs w:val="24"/>
        </w:rPr>
        <w:t>―10―</w:t>
      </w:r>
    </w:p>
    <w:p>
      <w:pPr>
        <w:sectPr>
          <w:type w:val="continuous"/>
          <w:pgSz w:w="11900" w:h="16838"/>
          <w:pgMar w:top="1440" w:right="1066" w:bottom="463" w:left="880" w:header="0" w:footer="0" w:gutter="0"/>
          <w:cols w:equalWidth="0" w:num="1">
            <w:col w:w="9960"/>
          </w:cols>
        </w:sectPr>
      </w:pPr>
    </w:p>
    <w:p>
      <w:pPr>
        <w:spacing w:after="0" w:line="200" w:lineRule="exact"/>
        <w:rPr>
          <w:color w:val="auto"/>
          <w:sz w:val="20"/>
          <w:szCs w:val="20"/>
        </w:rPr>
      </w:pPr>
      <w:bookmarkStart w:id="10" w:name="page11"/>
      <w:bookmarkEnd w:id="10"/>
      <w:r>
        <w:rPr>
          <w:color w:val="auto"/>
          <w:sz w:val="20"/>
          <w:szCs w:val="20"/>
        </w:rPr>
        <w:drawing>
          <wp:anchor distT="0" distB="0" distL="114300" distR="114300" simplePos="0" relativeHeight="251658240" behindDoc="1" locked="0" layoutInCell="0" allowOverlap="1">
            <wp:simplePos x="0" y="0"/>
            <wp:positionH relativeFrom="page">
              <wp:posOffset>1043940</wp:posOffset>
            </wp:positionH>
            <wp:positionV relativeFrom="page">
              <wp:posOffset>9020175</wp:posOffset>
            </wp:positionV>
            <wp:extent cx="5472430" cy="8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a:xfrm>
                      <a:off x="0" y="0"/>
                      <a:ext cx="5472430" cy="88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5" w:lineRule="exact"/>
        <w:rPr>
          <w:color w:val="auto"/>
          <w:sz w:val="20"/>
          <w:szCs w:val="20"/>
        </w:rPr>
      </w:pPr>
    </w:p>
    <w:p>
      <w:pPr>
        <w:spacing w:after="0" w:line="320" w:lineRule="exact"/>
        <w:ind w:left="480"/>
        <w:rPr>
          <w:color w:val="auto"/>
          <w:sz w:val="20"/>
          <w:szCs w:val="20"/>
        </w:rPr>
      </w:pPr>
      <w:r>
        <w:rPr>
          <w:rFonts w:ascii="宋体" w:hAnsi="宋体" w:eastAsia="宋体" w:cs="宋体"/>
          <w:color w:val="auto"/>
          <w:sz w:val="28"/>
          <w:szCs w:val="28"/>
        </w:rPr>
        <w:t>抄送：各二级党组织、党群部门。</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129540</wp:posOffset>
            </wp:positionH>
            <wp:positionV relativeFrom="paragraph">
              <wp:posOffset>83185</wp:posOffset>
            </wp:positionV>
            <wp:extent cx="5472430" cy="88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a:srcRect/>
                    <a:stretch>
                      <a:fillRect/>
                    </a:stretch>
                  </pic:blipFill>
                  <pic:spPr>
                    <a:xfrm>
                      <a:off x="0" y="0"/>
                      <a:ext cx="5472430" cy="8890"/>
                    </a:xfrm>
                    <a:prstGeom prst="rect">
                      <a:avLst/>
                    </a:prstGeom>
                    <a:noFill/>
                  </pic:spPr>
                </pic:pic>
              </a:graphicData>
            </a:graphic>
          </wp:anchor>
        </w:drawing>
      </w:r>
    </w:p>
    <w:p>
      <w:pPr>
        <w:spacing w:after="0" w:line="193" w:lineRule="exact"/>
        <w:rPr>
          <w:color w:val="auto"/>
          <w:sz w:val="20"/>
          <w:szCs w:val="20"/>
        </w:rPr>
      </w:pPr>
    </w:p>
    <w:p>
      <w:pPr>
        <w:tabs>
          <w:tab w:val="left" w:pos="3820"/>
          <w:tab w:val="left" w:pos="5920"/>
        </w:tabs>
        <w:spacing w:after="0" w:line="340" w:lineRule="exact"/>
        <w:ind w:left="480"/>
        <w:rPr>
          <w:color w:val="auto"/>
          <w:sz w:val="20"/>
          <w:szCs w:val="20"/>
        </w:rPr>
      </w:pPr>
      <w:r>
        <w:rPr>
          <w:rFonts w:ascii="宋体" w:hAnsi="宋体" w:eastAsia="宋体" w:cs="宋体"/>
          <w:color w:val="auto"/>
          <w:sz w:val="28"/>
          <w:szCs w:val="28"/>
        </w:rPr>
        <w:t>中南大学办公室</w:t>
      </w:r>
      <w:r>
        <w:rPr>
          <w:color w:val="auto"/>
          <w:sz w:val="20"/>
          <w:szCs w:val="20"/>
        </w:rPr>
        <w:tab/>
      </w:r>
      <w:r>
        <w:rPr>
          <w:rFonts w:ascii="宋体" w:hAnsi="宋体" w:eastAsia="宋体" w:cs="宋体"/>
          <w:color w:val="auto"/>
          <w:sz w:val="28"/>
          <w:szCs w:val="28"/>
        </w:rPr>
        <w:t>主动公开</w:t>
      </w:r>
      <w:r>
        <w:rPr>
          <w:color w:val="auto"/>
          <w:sz w:val="20"/>
          <w:szCs w:val="20"/>
        </w:rPr>
        <w:tab/>
      </w:r>
      <w:r>
        <w:rPr>
          <w:rFonts w:ascii="Arial" w:hAnsi="Arial" w:eastAsia="Arial" w:cs="Arial"/>
          <w:color w:val="auto"/>
          <w:sz w:val="26"/>
          <w:szCs w:val="26"/>
        </w:rPr>
        <w:t xml:space="preserve">2018 </w:t>
      </w:r>
      <w:r>
        <w:rPr>
          <w:rFonts w:ascii="宋体" w:hAnsi="宋体" w:eastAsia="宋体" w:cs="宋体"/>
          <w:color w:val="auto"/>
          <w:sz w:val="26"/>
          <w:szCs w:val="26"/>
        </w:rPr>
        <w:t>年</w:t>
      </w:r>
      <w:r>
        <w:rPr>
          <w:rFonts w:ascii="Arial" w:hAnsi="Arial" w:eastAsia="Arial" w:cs="Arial"/>
          <w:color w:val="auto"/>
          <w:sz w:val="26"/>
          <w:szCs w:val="26"/>
        </w:rPr>
        <w:t xml:space="preserve"> 3 </w:t>
      </w:r>
      <w:r>
        <w:rPr>
          <w:rFonts w:ascii="宋体" w:hAnsi="宋体" w:eastAsia="宋体" w:cs="宋体"/>
          <w:color w:val="auto"/>
          <w:sz w:val="26"/>
          <w:szCs w:val="26"/>
        </w:rPr>
        <w:t>月</w:t>
      </w:r>
      <w:r>
        <w:rPr>
          <w:rFonts w:ascii="Arial" w:hAnsi="Arial" w:eastAsia="Arial" w:cs="Arial"/>
          <w:color w:val="auto"/>
          <w:sz w:val="26"/>
          <w:szCs w:val="26"/>
        </w:rPr>
        <w:t xml:space="preserve"> 23 </w:t>
      </w:r>
      <w:r>
        <w:rPr>
          <w:rFonts w:ascii="宋体" w:hAnsi="宋体" w:eastAsia="宋体" w:cs="宋体"/>
          <w:color w:val="auto"/>
          <w:sz w:val="26"/>
          <w:szCs w:val="26"/>
        </w:rPr>
        <w:t>日印发</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129540</wp:posOffset>
            </wp:positionH>
            <wp:positionV relativeFrom="paragraph">
              <wp:posOffset>75565</wp:posOffset>
            </wp:positionV>
            <wp:extent cx="5472430" cy="88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a:srcRect/>
                    <a:stretch>
                      <a:fillRect/>
                    </a:stretch>
                  </pic:blipFill>
                  <pic:spPr>
                    <a:xfrm>
                      <a:off x="0" y="0"/>
                      <a:ext cx="5472430" cy="8890"/>
                    </a:xfrm>
                    <a:prstGeom prst="rect">
                      <a:avLst/>
                    </a:prstGeom>
                    <a:noFill/>
                  </pic:spPr>
                </pic:pic>
              </a:graphicData>
            </a:graphic>
          </wp:anchor>
        </w:drawing>
      </w:r>
    </w:p>
    <w:p>
      <w:pPr>
        <w:sectPr>
          <w:pgSz w:w="11900" w:h="16838"/>
          <w:pgMar w:top="1440" w:right="1440" w:bottom="463" w:left="1440" w:header="0" w:footer="0" w:gutter="0"/>
          <w:cols w:equalWidth="0" w:num="1">
            <w:col w:w="9026"/>
          </w:cols>
        </w:sectPr>
      </w:pPr>
    </w:p>
    <w:p>
      <w:pPr>
        <w:spacing w:after="0" w:line="310" w:lineRule="exact"/>
        <w:rPr>
          <w:color w:val="auto"/>
          <w:sz w:val="20"/>
          <w:szCs w:val="20"/>
        </w:rPr>
      </w:pPr>
    </w:p>
    <w:p>
      <w:pPr>
        <w:spacing w:after="0" w:line="274" w:lineRule="exact"/>
        <w:ind w:left="8100"/>
        <w:rPr>
          <w:color w:val="auto"/>
          <w:sz w:val="20"/>
          <w:szCs w:val="20"/>
        </w:rPr>
      </w:pPr>
      <w:r>
        <w:rPr>
          <w:rFonts w:ascii="宋体" w:hAnsi="宋体" w:eastAsia="宋体" w:cs="宋体"/>
          <w:color w:val="auto"/>
          <w:sz w:val="24"/>
          <w:szCs w:val="24"/>
        </w:rPr>
        <w:t>―11―</w:t>
      </w:r>
    </w:p>
    <w:sectPr>
      <w:type w:val="continuous"/>
      <w:pgSz w:w="11900" w:h="16838"/>
      <w:pgMar w:top="1440" w:right="1440" w:bottom="463"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singleLevel"/>
    <w:tmpl w:val="00001649"/>
    <w:lvl w:ilvl="0" w:tentative="0">
      <w:start w:val="1"/>
      <w:numFmt w:val="bullet"/>
      <w:lvlText w:val="月"/>
      <w:lvlJc w:val="left"/>
    </w:lvl>
  </w:abstractNum>
  <w:abstractNum w:abstractNumId="1">
    <w:nsid w:val="000041BB"/>
    <w:multiLevelType w:val="singleLevel"/>
    <w:tmpl w:val="000041BB"/>
    <w:lvl w:ilvl="0" w:tentative="0">
      <w:start w:val="1"/>
      <w:numFmt w:val="bullet"/>
      <w:lvlText w:val="前"/>
      <w:lvlJc w:val="left"/>
    </w:lvl>
  </w:abstractNum>
  <w:abstractNum w:abstractNumId="2">
    <w:nsid w:val="00005AF1"/>
    <w:multiLevelType w:val="singleLevel"/>
    <w:tmpl w:val="00005AF1"/>
    <w:lvl w:ilvl="0" w:tentative="0">
      <w:start w:val="1"/>
      <w:numFmt w:val="bullet"/>
      <w:lvlText w:val="的"/>
      <w:lvlJc w:val="left"/>
    </w:lvl>
  </w:abstractNum>
  <w:abstractNum w:abstractNumId="3">
    <w:nsid w:val="00006DF1"/>
    <w:multiLevelType w:val="singleLevel"/>
    <w:tmpl w:val="00006DF1"/>
    <w:lvl w:ilvl="0" w:tentative="0">
      <w:start w:val="342"/>
      <w:numFmt w:val="decimal"/>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DF5F12"/>
    <w:rsid w:val="38874158"/>
    <w:rsid w:val="46FA3F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ScaleCrop>false</ScaleCrop>
  <LinksUpToDate>false</LinksUpToDate>
  <CharactersWithSpaces>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2018-04-20T09:34:00Z</dcterms:created>
  <dc:creator>Windows User</dc:creator>
  <cp:lastModifiedBy>dell</cp:lastModifiedBy>
  <dcterms:modified xsi:type="dcterms:W3CDTF">2018-04-23T08:42:09Z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